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80"/>
        <w:gridCol w:w="6948"/>
      </w:tblGrid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Headline</w:t>
            </w:r>
          </w:p>
        </w:tc>
        <w:tc>
          <w:tcPr>
            <w:tcW w:w="6948" w:type="dxa"/>
            <w:vAlign w:val="center"/>
          </w:tcPr>
          <w:p w:rsidR="00010B24" w:rsidRDefault="005D2123" w:rsidP="00AD3E3B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Symphony </w:t>
            </w:r>
            <w:r w:rsidR="00AD3E3B">
              <w:rPr>
                <w:rFonts w:ascii="Arial" w:hAnsi="Arial" w:cs="Arial"/>
                <w:sz w:val="20"/>
              </w:rPr>
              <w:t>HTTP</w:t>
            </w:r>
            <w:r>
              <w:rPr>
                <w:rFonts w:ascii="Arial" w:hAnsi="Arial" w:cs="Arial"/>
                <w:sz w:val="20"/>
              </w:rPr>
              <w:t xml:space="preserve"> proxy web service</w:t>
            </w:r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pStyle w:val="Heading1"/>
            </w:pPr>
            <w:r>
              <w:t>Company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SocGen</w:t>
            </w:r>
            <w:proofErr w:type="spellEnd"/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pStyle w:val="Heading1"/>
            </w:pPr>
            <w:r>
              <w:t>Ranking of Priority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4C7DA0">
              <w:rPr>
                <w:rFonts w:ascii="Arial" w:hAnsi="Arial" w:cs="Arial"/>
                <w:sz w:val="20"/>
                <w:szCs w:val="20"/>
              </w:rPr>
              <w:t>High - Lack of RFE functionality is a major road block to deployment/adoption</w:t>
            </w:r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pStyle w:val="Heading1"/>
            </w:pPr>
            <w:r>
              <w:t>Brand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Servers and Systems Software</w:t>
            </w:r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pStyle w:val="Heading1"/>
            </w:pPr>
            <w:r>
              <w:t>Product Family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Spectrum Computing</w:t>
            </w:r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pStyle w:val="Heading1"/>
            </w:pPr>
            <w:r>
              <w:t>Product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Spectrum</w:t>
            </w:r>
            <w:r w:rsidR="005D2123">
              <w:rPr>
                <w:rFonts w:ascii="Arial" w:hAnsi="Arial" w:cs="Arial"/>
                <w:sz w:val="20"/>
                <w:szCs w:val="20"/>
              </w:rPr>
              <w:t xml:space="preserve"> Symphony</w:t>
            </w:r>
          </w:p>
        </w:tc>
      </w:tr>
      <w:tr w:rsidR="00010B24" w:rsidTr="00986E26">
        <w:tc>
          <w:tcPr>
            <w:tcW w:w="2380" w:type="dxa"/>
            <w:vAlign w:val="center"/>
          </w:tcPr>
          <w:p w:rsidR="00010B24" w:rsidRDefault="00010B24" w:rsidP="00986E26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Component</w:t>
            </w:r>
          </w:p>
        </w:tc>
        <w:tc>
          <w:tcPr>
            <w:tcW w:w="6948" w:type="dxa"/>
            <w:vAlign w:val="center"/>
          </w:tcPr>
          <w:p w:rsidR="00010B24" w:rsidRDefault="00010B24" w:rsidP="00986E26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Version 7.1.1</w:t>
            </w:r>
          </w:p>
        </w:tc>
      </w:tr>
      <w:tr w:rsidR="00821AFF" w:rsidTr="00986E26">
        <w:tc>
          <w:tcPr>
            <w:tcW w:w="2380" w:type="dxa"/>
            <w:vAlign w:val="center"/>
          </w:tcPr>
          <w:p w:rsidR="00821AFF" w:rsidRDefault="00821AFF" w:rsidP="00821AF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Operating System</w:t>
            </w:r>
          </w:p>
        </w:tc>
        <w:tc>
          <w:tcPr>
            <w:tcW w:w="6948" w:type="dxa"/>
            <w:vAlign w:val="center"/>
          </w:tcPr>
          <w:p w:rsidR="00821AFF" w:rsidRDefault="00821AFF" w:rsidP="00821AFF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Linux x86_64</w:t>
            </w:r>
          </w:p>
        </w:tc>
      </w:tr>
      <w:tr w:rsidR="00821AFF" w:rsidTr="00986E26">
        <w:tc>
          <w:tcPr>
            <w:tcW w:w="2380" w:type="dxa"/>
            <w:vAlign w:val="center"/>
          </w:tcPr>
          <w:p w:rsidR="00821AFF" w:rsidRDefault="00821AFF" w:rsidP="00821AFF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PMR ID</w:t>
            </w:r>
          </w:p>
        </w:tc>
        <w:tc>
          <w:tcPr>
            <w:tcW w:w="6948" w:type="dxa"/>
            <w:vAlign w:val="center"/>
          </w:tcPr>
          <w:p w:rsidR="00821AFF" w:rsidRDefault="00821AFF" w:rsidP="00821AFF">
            <w:pPr>
              <w:spacing w:before="120" w:after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N/A</w:t>
            </w:r>
          </w:p>
        </w:tc>
      </w:tr>
      <w:tr w:rsidR="00821AFF" w:rsidTr="00986E26">
        <w:tc>
          <w:tcPr>
            <w:tcW w:w="2380" w:type="dxa"/>
            <w:vAlign w:val="center"/>
          </w:tcPr>
          <w:p w:rsidR="00821AFF" w:rsidRDefault="00821AFF" w:rsidP="00821AFF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Problem Description</w:t>
            </w:r>
          </w:p>
        </w:tc>
        <w:tc>
          <w:tcPr>
            <w:tcW w:w="6948" w:type="dxa"/>
            <w:vAlign w:val="center"/>
          </w:tcPr>
          <w:p w:rsidR="00821AFF" w:rsidRPr="00AD3E3B" w:rsidRDefault="00821AFF" w:rsidP="00821AFF">
            <w:pPr>
              <w:spacing w:after="120"/>
              <w:rPr>
                <w:rFonts w:ascii="Helv" w:hAnsi="Helv" w:cs="Helv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SocGen</w:t>
            </w:r>
            <w:proofErr w:type="spellEnd"/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has 24 </w:t>
            </w: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on-premise</w:t>
            </w:r>
            <w:proofErr w:type="spellEnd"/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Symphony clusters and is deploying Symphony </w:t>
            </w:r>
            <w:r w:rsidR="00D00240">
              <w:rPr>
                <w:rFonts w:ascii="Helv" w:hAnsi="Helv" w:cs="Helv"/>
                <w:color w:val="000000"/>
                <w:sz w:val="20"/>
                <w:szCs w:val="20"/>
              </w:rPr>
              <w:t xml:space="preserve">application 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clients 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on public cloud (AWS). To prevent from any intrusion risk, SG CISO expects to 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>have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 an HTTP proxy between the cloud and the 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>clusters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 to enable deep flow ins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pection 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>at application level.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This proxy will be hosted in SG on protected hardware (network, </w:t>
            </w:r>
            <w:proofErr w:type="spellStart"/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>etc</w:t>
            </w:r>
            <w:proofErr w:type="spellEnd"/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>).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</w:t>
            </w:r>
          </w:p>
          <w:p w:rsidR="00821AFF" w:rsidRDefault="00821AFF" w:rsidP="00821AFF">
            <w:pPr>
              <w:spacing w:after="120"/>
              <w:rPr>
                <w:rFonts w:ascii="Helv" w:hAnsi="Helv" w:cs="Helv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WebService</w:t>
            </w:r>
            <w:proofErr w:type="spellEnd"/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 are required between AWS clients and 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the 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>proxy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at cluster side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 xml:space="preserve">. Between proxy and </w:t>
            </w:r>
            <w:r>
              <w:rPr>
                <w:rFonts w:ascii="Helv" w:hAnsi="Helv" w:cs="Helv"/>
                <w:color w:val="000000"/>
                <w:sz w:val="20"/>
                <w:szCs w:val="20"/>
              </w:rPr>
              <w:t>SD/</w:t>
            </w:r>
            <w:r w:rsidRPr="00AD3E3B">
              <w:rPr>
                <w:rFonts w:ascii="Helv" w:hAnsi="Helv" w:cs="Helv"/>
                <w:color w:val="000000"/>
                <w:sz w:val="20"/>
                <w:szCs w:val="20"/>
              </w:rPr>
              <w:t>SSM, protocols are not restricted, so Symphony protocol can be used.</w:t>
            </w:r>
          </w:p>
          <w:p w:rsidR="00821AFF" w:rsidRPr="00C254CF" w:rsidRDefault="00821AFF" w:rsidP="00821AFF">
            <w:pPr>
              <w:spacing w:after="120"/>
              <w:rPr>
                <w:rFonts w:ascii="Helv" w:hAnsi="Helv" w:cs="Helv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SocGen</w:t>
            </w:r>
            <w:proofErr w:type="spellEnd"/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needs Symphony to provide a HTTP proxy component so the AWS clients can interact with the </w:t>
            </w: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on-premise</w:t>
            </w:r>
            <w:proofErr w:type="spellEnd"/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clusters with a set of </w:t>
            </w:r>
            <w:proofErr w:type="spellStart"/>
            <w:r>
              <w:rPr>
                <w:rFonts w:ascii="Helv" w:hAnsi="Helv" w:cs="Helv"/>
                <w:color w:val="000000"/>
                <w:sz w:val="20"/>
                <w:szCs w:val="20"/>
              </w:rPr>
              <w:t>WebService</w:t>
            </w:r>
            <w:proofErr w:type="spellEnd"/>
            <w:r>
              <w:rPr>
                <w:rFonts w:ascii="Helv" w:hAnsi="Helv" w:cs="Helv"/>
                <w:color w:val="000000"/>
                <w:sz w:val="20"/>
                <w:szCs w:val="20"/>
              </w:rPr>
              <w:t xml:space="preserve"> APIs. The expected APIs are listed in below use case section. </w:t>
            </w:r>
          </w:p>
          <w:p w:rsidR="00821AFF" w:rsidRPr="00C254CF" w:rsidRDefault="00821AFF" w:rsidP="00821AFF">
            <w:pPr>
              <w:spacing w:after="120"/>
              <w:rPr>
                <w:rFonts w:ascii="Helv" w:hAnsi="Helv" w:cs="Helv"/>
                <w:color w:val="000000"/>
                <w:sz w:val="20"/>
                <w:szCs w:val="20"/>
              </w:rPr>
            </w:pPr>
          </w:p>
        </w:tc>
      </w:tr>
      <w:tr w:rsidR="00821AFF" w:rsidTr="00986E26">
        <w:tc>
          <w:tcPr>
            <w:tcW w:w="2380" w:type="dxa"/>
            <w:vAlign w:val="center"/>
          </w:tcPr>
          <w:p w:rsidR="00821AFF" w:rsidRDefault="00821AFF" w:rsidP="00821AFF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Use Case</w:t>
            </w:r>
          </w:p>
        </w:tc>
        <w:tc>
          <w:tcPr>
            <w:tcW w:w="6948" w:type="dxa"/>
            <w:vAlign w:val="center"/>
          </w:tcPr>
          <w:p w:rsidR="00821AFF" w:rsidRDefault="00821AFF" w:rsidP="00821AFF">
            <w:pPr>
              <w:spacing w:after="120"/>
            </w:pPr>
            <w:r>
              <w:object w:dxaOrig="1550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.2pt;height:52.4pt" o:ole="">
                  <v:imagedata r:id="rId5" o:title=""/>
                </v:shape>
                <o:OLEObject Type="Embed" ProgID="Package" ShapeID="_x0000_i1025" DrawAspect="Icon" ObjectID="_1528722186" r:id="rId6"/>
              </w:object>
            </w:r>
          </w:p>
          <w:p w:rsidR="001743A3" w:rsidRDefault="001743A3" w:rsidP="00821AFF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 w:rsidRPr="001743A3">
              <w:rPr>
                <w:rFonts w:ascii="Arial" w:hAnsi="Arial" w:cs="Arial"/>
                <w:sz w:val="20"/>
                <w:szCs w:val="20"/>
              </w:rPr>
              <w:t xml:space="preserve">Authentication method and connection traceability should be strong enough on those proxies to be sure that only </w:t>
            </w:r>
            <w:proofErr w:type="spellStart"/>
            <w:r w:rsidRPr="001743A3">
              <w:rPr>
                <w:rFonts w:ascii="Arial" w:hAnsi="Arial" w:cs="Arial"/>
                <w:sz w:val="20"/>
                <w:szCs w:val="20"/>
              </w:rPr>
              <w:t>Societe</w:t>
            </w:r>
            <w:proofErr w:type="spellEnd"/>
            <w:r w:rsidRPr="001743A3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1743A3">
              <w:rPr>
                <w:rFonts w:ascii="Arial" w:hAnsi="Arial" w:cs="Arial"/>
                <w:sz w:val="20"/>
                <w:szCs w:val="20"/>
              </w:rPr>
              <w:t>Generale</w:t>
            </w:r>
            <w:proofErr w:type="spellEnd"/>
            <w:r w:rsidRPr="001743A3">
              <w:rPr>
                <w:rFonts w:ascii="Arial" w:hAnsi="Arial" w:cs="Arial"/>
                <w:sz w:val="20"/>
                <w:szCs w:val="20"/>
              </w:rPr>
              <w:t xml:space="preserve"> resources in Cloud could connect to those proxies.</w:t>
            </w:r>
            <w:bookmarkStart w:id="0" w:name="_GoBack"/>
            <w:bookmarkEnd w:id="0"/>
          </w:p>
          <w:p w:rsidR="001743A3" w:rsidRPr="001743A3" w:rsidRDefault="00315F7E" w:rsidP="003D1688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  <w:r w:rsidR="001743A3" w:rsidRPr="001743A3">
              <w:rPr>
                <w:rFonts w:ascii="Arial" w:hAnsi="Arial" w:cs="Arial"/>
                <w:sz w:val="20"/>
                <w:szCs w:val="20"/>
              </w:rPr>
              <w:t>he</w:t>
            </w:r>
            <w:r>
              <w:rPr>
                <w:rFonts w:ascii="Arial" w:hAnsi="Arial" w:cs="Arial"/>
                <w:sz w:val="20"/>
                <w:szCs w:val="20"/>
              </w:rPr>
              <w:t xml:space="preserve"> proxy </w:t>
            </w:r>
            <w:r w:rsidR="001743A3" w:rsidRPr="001743A3">
              <w:rPr>
                <w:rFonts w:ascii="Arial" w:hAnsi="Arial" w:cs="Arial"/>
                <w:sz w:val="20"/>
                <w:szCs w:val="20"/>
              </w:rPr>
              <w:t>need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="001743A3" w:rsidRPr="001743A3">
              <w:rPr>
                <w:rFonts w:ascii="Arial" w:hAnsi="Arial" w:cs="Arial"/>
                <w:sz w:val="20"/>
                <w:szCs w:val="20"/>
              </w:rPr>
              <w:t xml:space="preserve"> to be resilient. </w:t>
            </w:r>
            <w:r>
              <w:rPr>
                <w:rFonts w:ascii="Arial" w:hAnsi="Arial" w:cs="Arial"/>
                <w:sz w:val="20"/>
                <w:szCs w:val="20"/>
              </w:rPr>
              <w:t>If the proxy is down,</w:t>
            </w:r>
            <w:r w:rsidR="003D1688">
              <w:rPr>
                <w:rFonts w:ascii="Arial" w:hAnsi="Arial" w:cs="Arial"/>
                <w:sz w:val="20"/>
                <w:szCs w:val="20"/>
              </w:rPr>
              <w:t xml:space="preserve"> there should be a way to redirect the requests to other proxies and this should be transparent to users. The </w:t>
            </w:r>
            <w:r w:rsidR="003D1688" w:rsidRPr="003D1688">
              <w:rPr>
                <w:rFonts w:ascii="Arial" w:hAnsi="Arial" w:cs="Arial"/>
                <w:sz w:val="20"/>
                <w:szCs w:val="20"/>
              </w:rPr>
              <w:t>proxies should sustain « scalability » in “horizontal mode” (aka many instances on many VMs, spread across datacenters at least in active/passive mode, but the best is active/active).</w:t>
            </w:r>
          </w:p>
        </w:tc>
      </w:tr>
      <w:tr w:rsidR="00821AFF" w:rsidTr="00986E26">
        <w:tc>
          <w:tcPr>
            <w:tcW w:w="2380" w:type="dxa"/>
            <w:vAlign w:val="center"/>
          </w:tcPr>
          <w:p w:rsidR="00821AFF" w:rsidRDefault="00821AFF" w:rsidP="00821AFF">
            <w:pPr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Business Justification</w:t>
            </w:r>
          </w:p>
        </w:tc>
        <w:tc>
          <w:tcPr>
            <w:tcW w:w="6948" w:type="dxa"/>
            <w:vAlign w:val="center"/>
          </w:tcPr>
          <w:p w:rsidR="00821AFF" w:rsidRDefault="00821AFF" w:rsidP="00821AFF">
            <w:pPr>
              <w:spacing w:after="120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SocGen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</w:t>
            </w:r>
            <w:r w:rsidRPr="009E66BE">
              <w:rPr>
                <w:rFonts w:ascii="Arial" w:hAnsi="Arial" w:cs="Arial"/>
                <w:sz w:val="20"/>
              </w:rPr>
              <w:t>Grid As A Service</w:t>
            </w:r>
            <w:r>
              <w:rPr>
                <w:rFonts w:ascii="Arial" w:hAnsi="Arial" w:cs="Arial"/>
                <w:sz w:val="20"/>
              </w:rPr>
              <w:t xml:space="preserve"> project. Please check with </w:t>
            </w:r>
            <w:hyperlink r:id="rId7" w:history="1">
              <w:r w:rsidRPr="008A017B">
                <w:rPr>
                  <w:rStyle w:val="Hyperlink"/>
                  <w:rFonts w:ascii="Arial" w:hAnsi="Arial" w:cs="Arial"/>
                  <w:sz w:val="20"/>
                </w:rPr>
                <w:t>gilles.tourpe@fr.ibm.com</w:t>
              </w:r>
            </w:hyperlink>
            <w:r>
              <w:rPr>
                <w:rFonts w:ascii="Arial" w:hAnsi="Arial" w:cs="Arial"/>
                <w:sz w:val="20"/>
              </w:rPr>
              <w:t xml:space="preserve"> for more business impact. </w:t>
            </w:r>
          </w:p>
          <w:p w:rsidR="00821AFF" w:rsidRDefault="00821AFF" w:rsidP="00821AFF">
            <w:pPr>
              <w:spacing w:after="120"/>
              <w:rPr>
                <w:rFonts w:ascii="Arial" w:hAnsi="Arial" w:cs="Arial"/>
                <w:sz w:val="20"/>
              </w:rPr>
            </w:pPr>
          </w:p>
        </w:tc>
      </w:tr>
    </w:tbl>
    <w:p w:rsidR="0070769C" w:rsidRDefault="0070769C"/>
    <w:sectPr w:rsidR="007076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E412BB"/>
    <w:multiLevelType w:val="hybridMultilevel"/>
    <w:tmpl w:val="D20A7678"/>
    <w:lvl w:ilvl="0" w:tplc="4140925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173935"/>
    <w:multiLevelType w:val="hybridMultilevel"/>
    <w:tmpl w:val="59FA3B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1D2619"/>
    <w:multiLevelType w:val="hybridMultilevel"/>
    <w:tmpl w:val="59FA3B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863E18"/>
    <w:multiLevelType w:val="hybridMultilevel"/>
    <w:tmpl w:val="A0EC2558"/>
    <w:lvl w:ilvl="0" w:tplc="4140925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B24"/>
    <w:rsid w:val="00002B75"/>
    <w:rsid w:val="00007A79"/>
    <w:rsid w:val="00010B24"/>
    <w:rsid w:val="0002402F"/>
    <w:rsid w:val="00034620"/>
    <w:rsid w:val="00035136"/>
    <w:rsid w:val="00066293"/>
    <w:rsid w:val="000772F9"/>
    <w:rsid w:val="00085DEE"/>
    <w:rsid w:val="000A1C39"/>
    <w:rsid w:val="000B588A"/>
    <w:rsid w:val="000C0E34"/>
    <w:rsid w:val="000C725A"/>
    <w:rsid w:val="000D3521"/>
    <w:rsid w:val="0010369C"/>
    <w:rsid w:val="00145A5B"/>
    <w:rsid w:val="0015386C"/>
    <w:rsid w:val="00155824"/>
    <w:rsid w:val="001560C1"/>
    <w:rsid w:val="001743A3"/>
    <w:rsid w:val="00192DE9"/>
    <w:rsid w:val="001A2268"/>
    <w:rsid w:val="001B471B"/>
    <w:rsid w:val="001B7B52"/>
    <w:rsid w:val="001D59C3"/>
    <w:rsid w:val="002254B7"/>
    <w:rsid w:val="00225DB3"/>
    <w:rsid w:val="002710BA"/>
    <w:rsid w:val="002C10D6"/>
    <w:rsid w:val="002F1779"/>
    <w:rsid w:val="00300A22"/>
    <w:rsid w:val="00311312"/>
    <w:rsid w:val="00311CDD"/>
    <w:rsid w:val="00315F7E"/>
    <w:rsid w:val="00344D77"/>
    <w:rsid w:val="003609BE"/>
    <w:rsid w:val="003772D3"/>
    <w:rsid w:val="00383393"/>
    <w:rsid w:val="003A4491"/>
    <w:rsid w:val="003B6779"/>
    <w:rsid w:val="003D1688"/>
    <w:rsid w:val="00414922"/>
    <w:rsid w:val="0041658D"/>
    <w:rsid w:val="004241DF"/>
    <w:rsid w:val="004971EA"/>
    <w:rsid w:val="004C6E69"/>
    <w:rsid w:val="004D3E16"/>
    <w:rsid w:val="004D6D0D"/>
    <w:rsid w:val="004F0321"/>
    <w:rsid w:val="005211C9"/>
    <w:rsid w:val="00527D89"/>
    <w:rsid w:val="00531A86"/>
    <w:rsid w:val="00545CAA"/>
    <w:rsid w:val="0054607F"/>
    <w:rsid w:val="005529C3"/>
    <w:rsid w:val="00562EE1"/>
    <w:rsid w:val="00563343"/>
    <w:rsid w:val="0056632D"/>
    <w:rsid w:val="00572F2C"/>
    <w:rsid w:val="00574295"/>
    <w:rsid w:val="00581616"/>
    <w:rsid w:val="005865DB"/>
    <w:rsid w:val="0059683D"/>
    <w:rsid w:val="005970CD"/>
    <w:rsid w:val="005B47ED"/>
    <w:rsid w:val="005C2782"/>
    <w:rsid w:val="005D2123"/>
    <w:rsid w:val="005D62B3"/>
    <w:rsid w:val="005F5CEE"/>
    <w:rsid w:val="006164B7"/>
    <w:rsid w:val="00626F43"/>
    <w:rsid w:val="006337DD"/>
    <w:rsid w:val="00684EFD"/>
    <w:rsid w:val="00687AD7"/>
    <w:rsid w:val="006E7070"/>
    <w:rsid w:val="0070769C"/>
    <w:rsid w:val="00714EBF"/>
    <w:rsid w:val="007366A7"/>
    <w:rsid w:val="00736D9B"/>
    <w:rsid w:val="0074616E"/>
    <w:rsid w:val="00747DF3"/>
    <w:rsid w:val="00750403"/>
    <w:rsid w:val="007511A3"/>
    <w:rsid w:val="007758C8"/>
    <w:rsid w:val="00790AA3"/>
    <w:rsid w:val="007A4260"/>
    <w:rsid w:val="007B1F5A"/>
    <w:rsid w:val="007B56A6"/>
    <w:rsid w:val="007E712D"/>
    <w:rsid w:val="007E7F09"/>
    <w:rsid w:val="007F2A5F"/>
    <w:rsid w:val="00821AFF"/>
    <w:rsid w:val="00842164"/>
    <w:rsid w:val="00872DA1"/>
    <w:rsid w:val="0088725B"/>
    <w:rsid w:val="00892033"/>
    <w:rsid w:val="00897066"/>
    <w:rsid w:val="008C3163"/>
    <w:rsid w:val="008D3947"/>
    <w:rsid w:val="00914970"/>
    <w:rsid w:val="009455D9"/>
    <w:rsid w:val="0096629B"/>
    <w:rsid w:val="00975032"/>
    <w:rsid w:val="00991B35"/>
    <w:rsid w:val="00996CCE"/>
    <w:rsid w:val="009C4C36"/>
    <w:rsid w:val="009D3C2A"/>
    <w:rsid w:val="009E66BE"/>
    <w:rsid w:val="009E7774"/>
    <w:rsid w:val="009F06CC"/>
    <w:rsid w:val="00A053FE"/>
    <w:rsid w:val="00A07B63"/>
    <w:rsid w:val="00A17DCE"/>
    <w:rsid w:val="00A442FF"/>
    <w:rsid w:val="00AB5F5E"/>
    <w:rsid w:val="00AD3E3B"/>
    <w:rsid w:val="00AF353B"/>
    <w:rsid w:val="00B029BD"/>
    <w:rsid w:val="00B23412"/>
    <w:rsid w:val="00B861FF"/>
    <w:rsid w:val="00B93C53"/>
    <w:rsid w:val="00BA538A"/>
    <w:rsid w:val="00BD36D4"/>
    <w:rsid w:val="00BF50A4"/>
    <w:rsid w:val="00BF5225"/>
    <w:rsid w:val="00C05E40"/>
    <w:rsid w:val="00C819B5"/>
    <w:rsid w:val="00CF5681"/>
    <w:rsid w:val="00D00240"/>
    <w:rsid w:val="00D07A7D"/>
    <w:rsid w:val="00D254B3"/>
    <w:rsid w:val="00D328E5"/>
    <w:rsid w:val="00D86600"/>
    <w:rsid w:val="00DC3575"/>
    <w:rsid w:val="00DD6E75"/>
    <w:rsid w:val="00E21AB1"/>
    <w:rsid w:val="00E431CB"/>
    <w:rsid w:val="00E5057B"/>
    <w:rsid w:val="00E548AE"/>
    <w:rsid w:val="00E67B4F"/>
    <w:rsid w:val="00E842E2"/>
    <w:rsid w:val="00EB6914"/>
    <w:rsid w:val="00ED11DA"/>
    <w:rsid w:val="00EE4023"/>
    <w:rsid w:val="00F0439E"/>
    <w:rsid w:val="00F07AD5"/>
    <w:rsid w:val="00F64492"/>
    <w:rsid w:val="00F65686"/>
    <w:rsid w:val="00F8199D"/>
    <w:rsid w:val="00F85EE5"/>
    <w:rsid w:val="00FB7FB9"/>
    <w:rsid w:val="00FC161A"/>
    <w:rsid w:val="00FD20E6"/>
    <w:rsid w:val="00FD25C5"/>
    <w:rsid w:val="00FE5128"/>
    <w:rsid w:val="00FF2A34"/>
    <w:rsid w:val="00FF5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B24B788-3CD2-42E0-8E77-0501F8849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010B24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10B24"/>
    <w:rPr>
      <w:rFonts w:ascii="Arial" w:eastAsia="Times New Roman" w:hAnsi="Arial" w:cs="Arial"/>
      <w:b/>
      <w:bCs/>
      <w:lang w:eastAsia="en-US"/>
    </w:rPr>
  </w:style>
  <w:style w:type="character" w:styleId="Hyperlink">
    <w:name w:val="Hyperlink"/>
    <w:uiPriority w:val="99"/>
    <w:unhideWhenUsed/>
    <w:rsid w:val="008920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illes.tourpe@fr.ibm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ADMINIBM</dc:creator>
  <cp:keywords/>
  <dc:description/>
  <cp:lastModifiedBy>ADMINIBM</cp:lastModifiedBy>
  <cp:revision>7</cp:revision>
  <dcterms:created xsi:type="dcterms:W3CDTF">2016-06-20T05:46:00Z</dcterms:created>
  <dcterms:modified xsi:type="dcterms:W3CDTF">2016-06-29T08:17:00Z</dcterms:modified>
</cp:coreProperties>
</file>