
<file path=[Content_Types].xml><?xml version="1.0" encoding="utf-8"?>
<Types xmlns="http://schemas.openxmlformats.org/package/2006/content-types">
  <Default Extension="xml" ContentType="application/xml"/>
  <Default Extension="bin" ContentType="application/vnd.openxmlformats-officedocument.oleObject"/>
  <Default Extension="rels" ContentType="application/vnd.openxmlformats-package.relationships+xml"/>
  <Default Extension="emf" ContentType="image/x-emf"/>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7"/>
        <w:gridCol w:w="8023"/>
      </w:tblGrid>
      <w:tr w:rsidR="00010B24" w14:paraId="40F61D71" w14:textId="77777777" w:rsidTr="00E968B0">
        <w:tc>
          <w:tcPr>
            <w:tcW w:w="1213" w:type="dxa"/>
            <w:vAlign w:val="center"/>
          </w:tcPr>
          <w:p w14:paraId="7F32D789" w14:textId="77777777" w:rsidR="00010B24" w:rsidRDefault="00010B24" w:rsidP="00986E26">
            <w:pPr>
              <w:rPr>
                <w:b/>
                <w:bCs/>
              </w:rPr>
            </w:pPr>
            <w:r>
              <w:rPr>
                <w:rFonts w:ascii="Arial" w:hAnsi="Arial" w:cs="Arial"/>
                <w:b/>
                <w:bCs/>
                <w:sz w:val="20"/>
                <w:szCs w:val="20"/>
              </w:rPr>
              <w:t>Headline</w:t>
            </w:r>
          </w:p>
        </w:tc>
        <w:tc>
          <w:tcPr>
            <w:tcW w:w="8137" w:type="dxa"/>
            <w:vAlign w:val="center"/>
          </w:tcPr>
          <w:p w14:paraId="5C83A24C" w14:textId="77777777" w:rsidR="00010B24" w:rsidRDefault="005D2123" w:rsidP="00AD3E3B">
            <w:pPr>
              <w:spacing w:before="120" w:after="120"/>
              <w:rPr>
                <w:rFonts w:ascii="Arial" w:hAnsi="Arial" w:cs="Arial"/>
                <w:sz w:val="20"/>
              </w:rPr>
            </w:pPr>
            <w:r>
              <w:rPr>
                <w:rFonts w:ascii="Arial" w:hAnsi="Arial" w:cs="Arial"/>
                <w:sz w:val="20"/>
              </w:rPr>
              <w:t xml:space="preserve">Symphony </w:t>
            </w:r>
            <w:r w:rsidR="00AD3E3B">
              <w:rPr>
                <w:rFonts w:ascii="Arial" w:hAnsi="Arial" w:cs="Arial"/>
                <w:sz w:val="20"/>
              </w:rPr>
              <w:t>HTTP</w:t>
            </w:r>
            <w:r>
              <w:rPr>
                <w:rFonts w:ascii="Arial" w:hAnsi="Arial" w:cs="Arial"/>
                <w:sz w:val="20"/>
              </w:rPr>
              <w:t xml:space="preserve"> proxy web service</w:t>
            </w:r>
          </w:p>
        </w:tc>
      </w:tr>
      <w:tr w:rsidR="00010B24" w14:paraId="1CEF9912" w14:textId="77777777" w:rsidTr="00E968B0">
        <w:tc>
          <w:tcPr>
            <w:tcW w:w="1213" w:type="dxa"/>
            <w:vAlign w:val="center"/>
          </w:tcPr>
          <w:p w14:paraId="3CD45E1B" w14:textId="77777777" w:rsidR="00010B24" w:rsidRDefault="00010B24" w:rsidP="00986E26">
            <w:pPr>
              <w:pStyle w:val="Titre1"/>
            </w:pPr>
            <w:r>
              <w:t>Company</w:t>
            </w:r>
          </w:p>
        </w:tc>
        <w:tc>
          <w:tcPr>
            <w:tcW w:w="8137" w:type="dxa"/>
            <w:vAlign w:val="center"/>
          </w:tcPr>
          <w:p w14:paraId="3A2AF46C" w14:textId="77777777" w:rsidR="00010B24" w:rsidRDefault="00010B24" w:rsidP="00986E26">
            <w:pPr>
              <w:spacing w:before="120" w:after="120"/>
              <w:rPr>
                <w:rFonts w:ascii="Arial" w:hAnsi="Arial" w:cs="Arial"/>
                <w:sz w:val="20"/>
                <w:szCs w:val="20"/>
              </w:rPr>
            </w:pPr>
            <w:r>
              <w:rPr>
                <w:rFonts w:ascii="Arial" w:hAnsi="Arial" w:cs="Arial"/>
                <w:sz w:val="20"/>
                <w:szCs w:val="20"/>
              </w:rPr>
              <w:t>SocGen</w:t>
            </w:r>
          </w:p>
        </w:tc>
      </w:tr>
      <w:tr w:rsidR="00010B24" w14:paraId="4023CED5" w14:textId="77777777" w:rsidTr="00E968B0">
        <w:tc>
          <w:tcPr>
            <w:tcW w:w="1213" w:type="dxa"/>
            <w:vAlign w:val="center"/>
          </w:tcPr>
          <w:p w14:paraId="2ED0061B" w14:textId="77777777" w:rsidR="00010B24" w:rsidRDefault="00010B24" w:rsidP="00986E26">
            <w:pPr>
              <w:pStyle w:val="Titre1"/>
            </w:pPr>
            <w:r>
              <w:t>Ranking of Priority</w:t>
            </w:r>
          </w:p>
        </w:tc>
        <w:tc>
          <w:tcPr>
            <w:tcW w:w="8137" w:type="dxa"/>
            <w:vAlign w:val="center"/>
          </w:tcPr>
          <w:p w14:paraId="7D8706FB" w14:textId="77777777" w:rsidR="00010B24" w:rsidRDefault="00010B24" w:rsidP="00986E26">
            <w:pPr>
              <w:spacing w:before="120" w:after="120"/>
              <w:rPr>
                <w:rFonts w:ascii="Arial" w:hAnsi="Arial" w:cs="Arial"/>
                <w:sz w:val="20"/>
                <w:szCs w:val="20"/>
              </w:rPr>
            </w:pPr>
            <w:r w:rsidRPr="004C7DA0">
              <w:rPr>
                <w:rFonts w:ascii="Arial" w:hAnsi="Arial" w:cs="Arial"/>
                <w:sz w:val="20"/>
                <w:szCs w:val="20"/>
              </w:rPr>
              <w:t>High - Lack of RFE functionality is a major road block to deployment/adoption</w:t>
            </w:r>
          </w:p>
        </w:tc>
      </w:tr>
      <w:tr w:rsidR="00010B24" w14:paraId="5A5B5FC0" w14:textId="77777777" w:rsidTr="00E968B0">
        <w:tc>
          <w:tcPr>
            <w:tcW w:w="1213" w:type="dxa"/>
            <w:vAlign w:val="center"/>
          </w:tcPr>
          <w:p w14:paraId="38C2A0C3" w14:textId="77777777" w:rsidR="00010B24" w:rsidRDefault="00010B24" w:rsidP="00986E26">
            <w:pPr>
              <w:pStyle w:val="Titre1"/>
            </w:pPr>
            <w:r>
              <w:t>Brand</w:t>
            </w:r>
          </w:p>
        </w:tc>
        <w:tc>
          <w:tcPr>
            <w:tcW w:w="8137" w:type="dxa"/>
            <w:vAlign w:val="center"/>
          </w:tcPr>
          <w:p w14:paraId="1D9E3B73" w14:textId="77777777" w:rsidR="00010B24" w:rsidRDefault="00010B24" w:rsidP="00986E26">
            <w:pPr>
              <w:spacing w:before="120" w:after="120"/>
              <w:rPr>
                <w:rFonts w:ascii="Arial" w:hAnsi="Arial" w:cs="Arial"/>
                <w:sz w:val="20"/>
                <w:szCs w:val="20"/>
              </w:rPr>
            </w:pPr>
            <w:r>
              <w:rPr>
                <w:rFonts w:ascii="Arial" w:hAnsi="Arial" w:cs="Arial"/>
                <w:sz w:val="20"/>
                <w:szCs w:val="20"/>
              </w:rPr>
              <w:t>Servers and Systems Software</w:t>
            </w:r>
          </w:p>
        </w:tc>
      </w:tr>
      <w:tr w:rsidR="00010B24" w14:paraId="79221EFF" w14:textId="77777777" w:rsidTr="00E968B0">
        <w:tc>
          <w:tcPr>
            <w:tcW w:w="1213" w:type="dxa"/>
            <w:vAlign w:val="center"/>
          </w:tcPr>
          <w:p w14:paraId="7E7532B2" w14:textId="77777777" w:rsidR="00010B24" w:rsidRDefault="00010B24" w:rsidP="00986E26">
            <w:pPr>
              <w:pStyle w:val="Titre1"/>
            </w:pPr>
            <w:r>
              <w:t>Product Family</w:t>
            </w:r>
          </w:p>
        </w:tc>
        <w:tc>
          <w:tcPr>
            <w:tcW w:w="8137" w:type="dxa"/>
            <w:vAlign w:val="center"/>
          </w:tcPr>
          <w:p w14:paraId="7126D0B8" w14:textId="77777777" w:rsidR="00010B24" w:rsidRDefault="00010B24" w:rsidP="00986E26">
            <w:pPr>
              <w:spacing w:before="120" w:after="120"/>
              <w:rPr>
                <w:rFonts w:ascii="Arial" w:hAnsi="Arial" w:cs="Arial"/>
                <w:sz w:val="20"/>
                <w:szCs w:val="20"/>
              </w:rPr>
            </w:pPr>
            <w:r>
              <w:rPr>
                <w:rFonts w:ascii="Arial" w:hAnsi="Arial" w:cs="Arial"/>
                <w:sz w:val="20"/>
                <w:szCs w:val="20"/>
              </w:rPr>
              <w:t>Spectrum Computing</w:t>
            </w:r>
          </w:p>
        </w:tc>
      </w:tr>
      <w:tr w:rsidR="00010B24" w14:paraId="0E4DA9A6" w14:textId="77777777" w:rsidTr="00E968B0">
        <w:tc>
          <w:tcPr>
            <w:tcW w:w="1213" w:type="dxa"/>
            <w:vAlign w:val="center"/>
          </w:tcPr>
          <w:p w14:paraId="2D0C1C17" w14:textId="77777777" w:rsidR="00010B24" w:rsidRDefault="00010B24" w:rsidP="00986E26">
            <w:pPr>
              <w:pStyle w:val="Titre1"/>
            </w:pPr>
            <w:r>
              <w:t>Product</w:t>
            </w:r>
          </w:p>
        </w:tc>
        <w:tc>
          <w:tcPr>
            <w:tcW w:w="8137" w:type="dxa"/>
            <w:vAlign w:val="center"/>
          </w:tcPr>
          <w:p w14:paraId="449E7725" w14:textId="77777777" w:rsidR="00010B24" w:rsidRDefault="00010B24" w:rsidP="00986E26">
            <w:pPr>
              <w:spacing w:before="120" w:after="120"/>
              <w:rPr>
                <w:rFonts w:ascii="Arial" w:hAnsi="Arial" w:cs="Arial"/>
                <w:sz w:val="20"/>
              </w:rPr>
            </w:pPr>
            <w:r>
              <w:rPr>
                <w:rFonts w:ascii="Arial" w:hAnsi="Arial" w:cs="Arial"/>
                <w:sz w:val="20"/>
                <w:szCs w:val="20"/>
              </w:rPr>
              <w:t>Spectrum</w:t>
            </w:r>
            <w:r w:rsidR="005D2123">
              <w:rPr>
                <w:rFonts w:ascii="Arial" w:hAnsi="Arial" w:cs="Arial"/>
                <w:sz w:val="20"/>
                <w:szCs w:val="20"/>
              </w:rPr>
              <w:t xml:space="preserve"> Symphony</w:t>
            </w:r>
          </w:p>
        </w:tc>
      </w:tr>
      <w:tr w:rsidR="00010B24" w14:paraId="5A84C65A" w14:textId="77777777" w:rsidTr="00E968B0">
        <w:tc>
          <w:tcPr>
            <w:tcW w:w="1213" w:type="dxa"/>
            <w:vAlign w:val="center"/>
          </w:tcPr>
          <w:p w14:paraId="54720BA9" w14:textId="77777777" w:rsidR="00010B24" w:rsidRDefault="00010B24" w:rsidP="00986E26">
            <w:pPr>
              <w:rPr>
                <w:b/>
                <w:bCs/>
              </w:rPr>
            </w:pPr>
            <w:r>
              <w:rPr>
                <w:rFonts w:ascii="Arial" w:hAnsi="Arial" w:cs="Arial"/>
                <w:b/>
                <w:bCs/>
                <w:sz w:val="20"/>
                <w:szCs w:val="20"/>
              </w:rPr>
              <w:t>Component</w:t>
            </w:r>
          </w:p>
        </w:tc>
        <w:tc>
          <w:tcPr>
            <w:tcW w:w="8137" w:type="dxa"/>
            <w:vAlign w:val="center"/>
          </w:tcPr>
          <w:p w14:paraId="363641BD" w14:textId="77777777" w:rsidR="00010B24" w:rsidRDefault="00010B24" w:rsidP="00986E26">
            <w:pPr>
              <w:spacing w:before="120" w:after="120"/>
              <w:rPr>
                <w:rFonts w:ascii="Arial" w:hAnsi="Arial" w:cs="Arial"/>
                <w:sz w:val="20"/>
              </w:rPr>
            </w:pPr>
            <w:r>
              <w:rPr>
                <w:rFonts w:ascii="Arial" w:hAnsi="Arial" w:cs="Arial"/>
                <w:sz w:val="20"/>
              </w:rPr>
              <w:t>Version 7.1.1</w:t>
            </w:r>
          </w:p>
        </w:tc>
      </w:tr>
      <w:tr w:rsidR="00821AFF" w14:paraId="622C0295" w14:textId="77777777" w:rsidTr="00E968B0">
        <w:tc>
          <w:tcPr>
            <w:tcW w:w="1213" w:type="dxa"/>
            <w:vAlign w:val="center"/>
          </w:tcPr>
          <w:p w14:paraId="32BA4A9B" w14:textId="77777777" w:rsidR="00821AFF" w:rsidRDefault="00821AFF" w:rsidP="00821AFF">
            <w:pPr>
              <w:rPr>
                <w:rFonts w:ascii="Arial" w:hAnsi="Arial" w:cs="Arial"/>
                <w:b/>
                <w:bCs/>
                <w:sz w:val="20"/>
                <w:szCs w:val="20"/>
              </w:rPr>
            </w:pPr>
            <w:r>
              <w:rPr>
                <w:rFonts w:ascii="Arial" w:hAnsi="Arial" w:cs="Arial"/>
                <w:b/>
                <w:bCs/>
                <w:sz w:val="20"/>
                <w:szCs w:val="20"/>
              </w:rPr>
              <w:t>Operating System</w:t>
            </w:r>
          </w:p>
        </w:tc>
        <w:tc>
          <w:tcPr>
            <w:tcW w:w="8137" w:type="dxa"/>
            <w:vAlign w:val="center"/>
          </w:tcPr>
          <w:p w14:paraId="2FCCE2F8" w14:textId="77777777" w:rsidR="00821AFF" w:rsidRDefault="00821AFF" w:rsidP="00821AFF">
            <w:pPr>
              <w:spacing w:before="120" w:after="120"/>
              <w:rPr>
                <w:rFonts w:ascii="Arial" w:hAnsi="Arial" w:cs="Arial"/>
                <w:sz w:val="20"/>
              </w:rPr>
            </w:pPr>
            <w:r>
              <w:rPr>
                <w:rFonts w:ascii="Arial" w:hAnsi="Arial" w:cs="Arial"/>
                <w:sz w:val="20"/>
              </w:rPr>
              <w:t>Linux x86_64</w:t>
            </w:r>
          </w:p>
        </w:tc>
      </w:tr>
      <w:tr w:rsidR="00821AFF" w14:paraId="649B2F42" w14:textId="77777777" w:rsidTr="00E968B0">
        <w:tc>
          <w:tcPr>
            <w:tcW w:w="1213" w:type="dxa"/>
            <w:vAlign w:val="center"/>
          </w:tcPr>
          <w:p w14:paraId="4D6BFAB3" w14:textId="77777777" w:rsidR="00821AFF" w:rsidRDefault="00821AFF" w:rsidP="00821AFF">
            <w:pPr>
              <w:rPr>
                <w:b/>
                <w:bCs/>
              </w:rPr>
            </w:pPr>
            <w:r>
              <w:rPr>
                <w:rFonts w:ascii="Arial" w:hAnsi="Arial" w:cs="Arial"/>
                <w:b/>
                <w:bCs/>
                <w:sz w:val="20"/>
                <w:szCs w:val="20"/>
              </w:rPr>
              <w:t>PMR ID</w:t>
            </w:r>
          </w:p>
        </w:tc>
        <w:tc>
          <w:tcPr>
            <w:tcW w:w="8137" w:type="dxa"/>
            <w:vAlign w:val="center"/>
          </w:tcPr>
          <w:p w14:paraId="427D866F" w14:textId="77777777" w:rsidR="00821AFF" w:rsidRDefault="00821AFF" w:rsidP="00821AFF">
            <w:pPr>
              <w:spacing w:before="120" w:after="120"/>
              <w:rPr>
                <w:rFonts w:ascii="Arial" w:hAnsi="Arial" w:cs="Arial"/>
                <w:sz w:val="20"/>
              </w:rPr>
            </w:pPr>
            <w:r>
              <w:rPr>
                <w:rFonts w:ascii="Arial" w:hAnsi="Arial" w:cs="Arial"/>
                <w:sz w:val="20"/>
              </w:rPr>
              <w:t>N/A</w:t>
            </w:r>
          </w:p>
        </w:tc>
      </w:tr>
      <w:tr w:rsidR="00821AFF" w14:paraId="229150DA" w14:textId="77777777" w:rsidTr="00E968B0">
        <w:tc>
          <w:tcPr>
            <w:tcW w:w="1213" w:type="dxa"/>
            <w:vAlign w:val="center"/>
          </w:tcPr>
          <w:p w14:paraId="3070D623" w14:textId="77777777" w:rsidR="00821AFF" w:rsidRDefault="00821AFF" w:rsidP="00821AFF">
            <w:pPr>
              <w:rPr>
                <w:b/>
                <w:bCs/>
              </w:rPr>
            </w:pPr>
            <w:r>
              <w:rPr>
                <w:rFonts w:ascii="Arial" w:hAnsi="Arial" w:cs="Arial"/>
                <w:b/>
                <w:bCs/>
                <w:sz w:val="20"/>
                <w:szCs w:val="20"/>
              </w:rPr>
              <w:t>Problem Description</w:t>
            </w:r>
          </w:p>
        </w:tc>
        <w:tc>
          <w:tcPr>
            <w:tcW w:w="8137" w:type="dxa"/>
            <w:vAlign w:val="center"/>
          </w:tcPr>
          <w:p w14:paraId="73D3CA6A" w14:textId="77777777" w:rsidR="00821AFF" w:rsidRPr="00AD3E3B" w:rsidRDefault="00821AFF" w:rsidP="00821AFF">
            <w:pPr>
              <w:spacing w:after="120"/>
              <w:rPr>
                <w:rFonts w:ascii="Helv" w:hAnsi="Helv" w:cs="Helv"/>
                <w:color w:val="000000"/>
                <w:sz w:val="20"/>
                <w:szCs w:val="20"/>
              </w:rPr>
            </w:pPr>
            <w:r>
              <w:rPr>
                <w:rFonts w:ascii="Helv" w:hAnsi="Helv" w:cs="Helv"/>
                <w:color w:val="000000"/>
                <w:sz w:val="20"/>
                <w:szCs w:val="20"/>
              </w:rPr>
              <w:t xml:space="preserve">SocGen has 24 on-premise Symphony clusters and is deploying Symphony </w:t>
            </w:r>
            <w:r w:rsidR="00D00240">
              <w:rPr>
                <w:rFonts w:ascii="Helv" w:hAnsi="Helv" w:cs="Helv"/>
                <w:color w:val="000000"/>
                <w:sz w:val="20"/>
                <w:szCs w:val="20"/>
              </w:rPr>
              <w:t xml:space="preserve">application </w:t>
            </w:r>
            <w:r>
              <w:rPr>
                <w:rFonts w:ascii="Helv" w:hAnsi="Helv" w:cs="Helv"/>
                <w:color w:val="000000"/>
                <w:sz w:val="20"/>
                <w:szCs w:val="20"/>
              </w:rPr>
              <w:t xml:space="preserve">clients </w:t>
            </w:r>
            <w:r w:rsidRPr="00AD3E3B">
              <w:rPr>
                <w:rFonts w:ascii="Helv" w:hAnsi="Helv" w:cs="Helv"/>
                <w:color w:val="000000"/>
                <w:sz w:val="20"/>
                <w:szCs w:val="20"/>
              </w:rPr>
              <w:t xml:space="preserve">on public cloud (AWS). To prevent from intrusion risk, SG CISO expects to </w:t>
            </w:r>
            <w:r>
              <w:rPr>
                <w:rFonts w:ascii="Helv" w:hAnsi="Helv" w:cs="Helv"/>
                <w:color w:val="000000"/>
                <w:sz w:val="20"/>
                <w:szCs w:val="20"/>
              </w:rPr>
              <w:t>have</w:t>
            </w:r>
            <w:r w:rsidRPr="00AD3E3B">
              <w:rPr>
                <w:rFonts w:ascii="Helv" w:hAnsi="Helv" w:cs="Helv"/>
                <w:color w:val="000000"/>
                <w:sz w:val="20"/>
                <w:szCs w:val="20"/>
              </w:rPr>
              <w:t xml:space="preserve"> an HTTP</w:t>
            </w:r>
            <w:r w:rsidR="005C5973">
              <w:rPr>
                <w:rFonts w:ascii="Helv" w:hAnsi="Helv" w:cs="Helv"/>
                <w:color w:val="000000"/>
                <w:sz w:val="20"/>
                <w:szCs w:val="20"/>
              </w:rPr>
              <w:t>S</w:t>
            </w:r>
            <w:r w:rsidRPr="00AD3E3B">
              <w:rPr>
                <w:rFonts w:ascii="Helv" w:hAnsi="Helv" w:cs="Helv"/>
                <w:color w:val="000000"/>
                <w:sz w:val="20"/>
                <w:szCs w:val="20"/>
              </w:rPr>
              <w:t xml:space="preserve"> proxy between the cloud and the </w:t>
            </w:r>
            <w:r>
              <w:rPr>
                <w:rFonts w:ascii="Helv" w:hAnsi="Helv" w:cs="Helv"/>
                <w:color w:val="000000"/>
                <w:sz w:val="20"/>
                <w:szCs w:val="20"/>
              </w:rPr>
              <w:t>clusters</w:t>
            </w:r>
            <w:r w:rsidRPr="00AD3E3B">
              <w:rPr>
                <w:rFonts w:ascii="Helv" w:hAnsi="Helv" w:cs="Helv"/>
                <w:color w:val="000000"/>
                <w:sz w:val="20"/>
                <w:szCs w:val="20"/>
              </w:rPr>
              <w:t xml:space="preserve"> to enable deep flow ins</w:t>
            </w:r>
            <w:r>
              <w:rPr>
                <w:rFonts w:ascii="Helv" w:hAnsi="Helv" w:cs="Helv"/>
                <w:color w:val="000000"/>
                <w:sz w:val="20"/>
                <w:szCs w:val="20"/>
              </w:rPr>
              <w:t xml:space="preserve">pection </w:t>
            </w:r>
            <w:r w:rsidRPr="00AD3E3B">
              <w:rPr>
                <w:rFonts w:ascii="Helv" w:hAnsi="Helv" w:cs="Helv"/>
                <w:color w:val="000000"/>
                <w:sz w:val="20"/>
                <w:szCs w:val="20"/>
              </w:rPr>
              <w:t>at application level.</w:t>
            </w:r>
            <w:r>
              <w:rPr>
                <w:rFonts w:ascii="Helv" w:hAnsi="Helv" w:cs="Helv"/>
                <w:color w:val="000000"/>
                <w:sz w:val="20"/>
                <w:szCs w:val="20"/>
              </w:rPr>
              <w:t xml:space="preserve"> </w:t>
            </w:r>
            <w:r w:rsidRPr="00AD3E3B">
              <w:rPr>
                <w:rFonts w:ascii="Helv" w:hAnsi="Helv" w:cs="Helv"/>
                <w:color w:val="000000"/>
                <w:sz w:val="20"/>
                <w:szCs w:val="20"/>
              </w:rPr>
              <w:t>This proxy will be hos</w:t>
            </w:r>
            <w:r w:rsidR="005C5973">
              <w:rPr>
                <w:rFonts w:ascii="Helv" w:hAnsi="Helv" w:cs="Helv"/>
                <w:color w:val="000000"/>
                <w:sz w:val="20"/>
                <w:szCs w:val="20"/>
              </w:rPr>
              <w:t>ted in SG on protected hardware.</w:t>
            </w:r>
          </w:p>
          <w:p w14:paraId="1F092C36" w14:textId="77777777" w:rsidR="00821AFF" w:rsidRDefault="00821AFF" w:rsidP="00821AFF">
            <w:pPr>
              <w:spacing w:after="120"/>
              <w:rPr>
                <w:rFonts w:ascii="Helv" w:hAnsi="Helv" w:cs="Helv"/>
                <w:color w:val="000000"/>
                <w:sz w:val="20"/>
                <w:szCs w:val="20"/>
              </w:rPr>
            </w:pPr>
            <w:r>
              <w:rPr>
                <w:rFonts w:ascii="Helv" w:hAnsi="Helv" w:cs="Helv"/>
                <w:color w:val="000000"/>
                <w:sz w:val="20"/>
                <w:szCs w:val="20"/>
              </w:rPr>
              <w:t>WebService</w:t>
            </w:r>
            <w:r w:rsidRPr="00AD3E3B">
              <w:rPr>
                <w:rFonts w:ascii="Helv" w:hAnsi="Helv" w:cs="Helv"/>
                <w:color w:val="000000"/>
                <w:sz w:val="20"/>
                <w:szCs w:val="20"/>
              </w:rPr>
              <w:t xml:space="preserve"> are required between AWS clients and </w:t>
            </w:r>
            <w:r>
              <w:rPr>
                <w:rFonts w:ascii="Helv" w:hAnsi="Helv" w:cs="Helv"/>
                <w:color w:val="000000"/>
                <w:sz w:val="20"/>
                <w:szCs w:val="20"/>
              </w:rPr>
              <w:t xml:space="preserve">the </w:t>
            </w:r>
            <w:r w:rsidRPr="00AD3E3B">
              <w:rPr>
                <w:rFonts w:ascii="Helv" w:hAnsi="Helv" w:cs="Helv"/>
                <w:color w:val="000000"/>
                <w:sz w:val="20"/>
                <w:szCs w:val="20"/>
              </w:rPr>
              <w:t>proxy</w:t>
            </w:r>
            <w:r>
              <w:rPr>
                <w:rFonts w:ascii="Helv" w:hAnsi="Helv" w:cs="Helv"/>
                <w:color w:val="000000"/>
                <w:sz w:val="20"/>
                <w:szCs w:val="20"/>
              </w:rPr>
              <w:t xml:space="preserve"> at cluster side</w:t>
            </w:r>
            <w:r w:rsidRPr="00AD3E3B">
              <w:rPr>
                <w:rFonts w:ascii="Helv" w:hAnsi="Helv" w:cs="Helv"/>
                <w:color w:val="000000"/>
                <w:sz w:val="20"/>
                <w:szCs w:val="20"/>
              </w:rPr>
              <w:t xml:space="preserve">. Between proxy and </w:t>
            </w:r>
            <w:r>
              <w:rPr>
                <w:rFonts w:ascii="Helv" w:hAnsi="Helv" w:cs="Helv"/>
                <w:color w:val="000000"/>
                <w:sz w:val="20"/>
                <w:szCs w:val="20"/>
              </w:rPr>
              <w:t>SD/</w:t>
            </w:r>
            <w:r w:rsidRPr="00AD3E3B">
              <w:rPr>
                <w:rFonts w:ascii="Helv" w:hAnsi="Helv" w:cs="Helv"/>
                <w:color w:val="000000"/>
                <w:sz w:val="20"/>
                <w:szCs w:val="20"/>
              </w:rPr>
              <w:t>SSM, protocols are not restricted, so Symphony protocol can be used.</w:t>
            </w:r>
          </w:p>
          <w:p w14:paraId="3DF1D614" w14:textId="77777777" w:rsidR="00821AFF" w:rsidRPr="00C254CF" w:rsidRDefault="00821AFF" w:rsidP="00821AFF">
            <w:pPr>
              <w:spacing w:after="120"/>
              <w:rPr>
                <w:rFonts w:ascii="Helv" w:hAnsi="Helv" w:cs="Helv"/>
                <w:color w:val="000000"/>
                <w:sz w:val="20"/>
                <w:szCs w:val="20"/>
              </w:rPr>
            </w:pPr>
            <w:r>
              <w:rPr>
                <w:rFonts w:ascii="Helv" w:hAnsi="Helv" w:cs="Helv"/>
                <w:color w:val="000000"/>
                <w:sz w:val="20"/>
                <w:szCs w:val="20"/>
              </w:rPr>
              <w:t>SocGen needs Symphony to provide a HTTP</w:t>
            </w:r>
            <w:r w:rsidR="00361055">
              <w:rPr>
                <w:rFonts w:ascii="Helv" w:hAnsi="Helv" w:cs="Helv"/>
                <w:color w:val="000000"/>
                <w:sz w:val="20"/>
                <w:szCs w:val="20"/>
              </w:rPr>
              <w:t>S</w:t>
            </w:r>
            <w:r>
              <w:rPr>
                <w:rFonts w:ascii="Helv" w:hAnsi="Helv" w:cs="Helv"/>
                <w:color w:val="000000"/>
                <w:sz w:val="20"/>
                <w:szCs w:val="20"/>
              </w:rPr>
              <w:t xml:space="preserve"> proxy component so the AWS clients can interact with the on-premise clusters with a set of WebService APIs. The expected APIs are listed in below use case section. </w:t>
            </w:r>
          </w:p>
          <w:p w14:paraId="01AE9B88" w14:textId="77777777" w:rsidR="00821AFF" w:rsidRPr="00C254CF" w:rsidRDefault="00821AFF" w:rsidP="00821AFF">
            <w:pPr>
              <w:spacing w:after="120"/>
              <w:rPr>
                <w:rFonts w:ascii="Helv" w:hAnsi="Helv" w:cs="Helv"/>
                <w:color w:val="000000"/>
                <w:sz w:val="20"/>
                <w:szCs w:val="20"/>
              </w:rPr>
            </w:pPr>
          </w:p>
        </w:tc>
      </w:tr>
    </w:tbl>
    <w:p w14:paraId="3BD787A0" w14:textId="77777777" w:rsidR="00E968B0" w:rsidRDefault="00E968B0">
      <w:r>
        <w:br w:type="page"/>
      </w:r>
    </w:p>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91"/>
        <w:gridCol w:w="7959"/>
      </w:tblGrid>
      <w:tr w:rsidR="00821AFF" w14:paraId="22E998BD" w14:textId="77777777" w:rsidTr="00E968B0">
        <w:tc>
          <w:tcPr>
            <w:tcW w:w="1213" w:type="dxa"/>
            <w:vAlign w:val="center"/>
          </w:tcPr>
          <w:p w14:paraId="567ADA18" w14:textId="77777777" w:rsidR="00821AFF" w:rsidRDefault="00821AFF" w:rsidP="00821AFF">
            <w:pPr>
              <w:rPr>
                <w:b/>
                <w:bCs/>
              </w:rPr>
            </w:pPr>
            <w:r>
              <w:rPr>
                <w:rFonts w:ascii="Arial" w:hAnsi="Arial" w:cs="Arial"/>
                <w:b/>
                <w:bCs/>
                <w:sz w:val="20"/>
                <w:szCs w:val="20"/>
              </w:rPr>
              <w:lastRenderedPageBreak/>
              <w:t>Use Case</w:t>
            </w:r>
          </w:p>
        </w:tc>
        <w:tc>
          <w:tcPr>
            <w:tcW w:w="8137" w:type="dxa"/>
            <w:vAlign w:val="center"/>
          </w:tcPr>
          <w:p w14:paraId="420DA3CF" w14:textId="77777777" w:rsidR="00821AFF" w:rsidRDefault="00821AFF" w:rsidP="00821AFF">
            <w:pPr>
              <w:spacing w:after="120"/>
            </w:pPr>
            <w:r>
              <w:object w:dxaOrig="1550" w:dyaOrig="1051" w14:anchorId="49DD63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35pt;height:52.1pt" o:ole="">
                  <v:imagedata r:id="rId5" o:title=""/>
                </v:shape>
                <o:OLEObject Type="Embed" ProgID="Package" ShapeID="_x0000_i1025" DrawAspect="Icon" ObjectID="_1540059991" r:id="rId6"/>
              </w:object>
            </w:r>
          </w:p>
          <w:p w14:paraId="205214EB" w14:textId="77777777" w:rsidR="00361055" w:rsidRDefault="00361055" w:rsidP="00821AFF">
            <w:pPr>
              <w:spacing w:after="120"/>
              <w:rPr>
                <w:rFonts w:ascii="Arial" w:hAnsi="Arial" w:cs="Arial"/>
                <w:sz w:val="20"/>
                <w:szCs w:val="20"/>
              </w:rPr>
            </w:pPr>
            <w:r>
              <w:rPr>
                <w:rFonts w:ascii="Arial" w:hAnsi="Arial" w:cs="Arial"/>
                <w:sz w:val="20"/>
                <w:szCs w:val="20"/>
              </w:rPr>
              <w:t>The Cloud Symphony clients must use HTTPS only to send and retrieve the workload to the grids. A set of HTTPS proxies (highly available and load balancing enabled</w:t>
            </w:r>
            <w:r w:rsidR="00B645EE">
              <w:rPr>
                <w:rFonts w:ascii="Arial" w:hAnsi="Arial" w:cs="Arial"/>
                <w:sz w:val="20"/>
                <w:szCs w:val="20"/>
              </w:rPr>
              <w:t xml:space="preserve"> using a scale-out model</w:t>
            </w:r>
            <w:r>
              <w:rPr>
                <w:rFonts w:ascii="Arial" w:hAnsi="Arial" w:cs="Arial"/>
                <w:sz w:val="20"/>
                <w:szCs w:val="20"/>
              </w:rPr>
              <w:t>) will translate HTTPS requests t</w:t>
            </w:r>
            <w:r w:rsidR="00B645EE">
              <w:rPr>
                <w:rFonts w:ascii="Arial" w:hAnsi="Arial" w:cs="Arial"/>
                <w:sz w:val="20"/>
                <w:szCs w:val="20"/>
              </w:rPr>
              <w:t>o the</w:t>
            </w:r>
            <w:r>
              <w:rPr>
                <w:rFonts w:ascii="Arial" w:hAnsi="Arial" w:cs="Arial"/>
                <w:sz w:val="20"/>
                <w:szCs w:val="20"/>
              </w:rPr>
              <w:t xml:space="preserve"> Symphony grid (the Proxies will be hosted on a dedicated network so no direct connections </w:t>
            </w:r>
            <w:r w:rsidR="00A0102B">
              <w:rPr>
                <w:rFonts w:ascii="Arial" w:hAnsi="Arial" w:cs="Arial"/>
                <w:sz w:val="20"/>
                <w:szCs w:val="20"/>
              </w:rPr>
              <w:t>from AWS will be availab</w:t>
            </w:r>
            <w:r w:rsidR="00B645EE">
              <w:rPr>
                <w:rFonts w:ascii="Arial" w:hAnsi="Arial" w:cs="Arial"/>
                <w:sz w:val="20"/>
                <w:szCs w:val="20"/>
              </w:rPr>
              <w:t>le to the Grid Management nodes).</w:t>
            </w:r>
          </w:p>
          <w:p w14:paraId="07F93140" w14:textId="77777777" w:rsidR="00B645EE" w:rsidRDefault="00B645EE" w:rsidP="00821AFF">
            <w:pPr>
              <w:spacing w:after="120"/>
              <w:rPr>
                <w:rFonts w:ascii="Arial" w:hAnsi="Arial" w:cs="Arial"/>
                <w:sz w:val="20"/>
                <w:szCs w:val="20"/>
              </w:rPr>
            </w:pPr>
          </w:p>
          <w:p w14:paraId="7DE3085D" w14:textId="77777777" w:rsidR="00B645EE" w:rsidRDefault="00B645EE" w:rsidP="00821AFF">
            <w:pPr>
              <w:spacing w:after="120"/>
              <w:rPr>
                <w:rFonts w:ascii="Arial" w:hAnsi="Arial" w:cs="Arial"/>
                <w:sz w:val="20"/>
                <w:szCs w:val="20"/>
              </w:rPr>
            </w:pPr>
            <w:r>
              <w:rPr>
                <w:rFonts w:ascii="Arial" w:hAnsi="Arial" w:cs="Arial"/>
                <w:sz w:val="20"/>
                <w:szCs w:val="20"/>
              </w:rPr>
              <w:t xml:space="preserve">The Cloud </w:t>
            </w:r>
            <w:r w:rsidR="00C851DF">
              <w:rPr>
                <w:rFonts w:ascii="Arial" w:hAnsi="Arial" w:cs="Arial"/>
                <w:sz w:val="20"/>
                <w:szCs w:val="20"/>
              </w:rPr>
              <w:t>symphony clients using the proxy will provide:</w:t>
            </w:r>
          </w:p>
          <w:p w14:paraId="09C4C6C2" w14:textId="77777777" w:rsidR="00C851DF" w:rsidRDefault="00C851DF" w:rsidP="00C851DF">
            <w:pPr>
              <w:pStyle w:val="Pardeliste"/>
              <w:numPr>
                <w:ilvl w:val="0"/>
                <w:numId w:val="5"/>
              </w:numPr>
              <w:spacing w:after="120"/>
              <w:rPr>
                <w:rFonts w:ascii="Arial" w:hAnsi="Arial" w:cs="Arial"/>
                <w:sz w:val="20"/>
                <w:szCs w:val="20"/>
              </w:rPr>
            </w:pPr>
            <w:r>
              <w:rPr>
                <w:rFonts w:ascii="Arial" w:hAnsi="Arial" w:cs="Arial"/>
                <w:sz w:val="20"/>
                <w:szCs w:val="20"/>
              </w:rPr>
              <w:t>The name of the grid it wants to use (for example a string stating “RNDBCARDI_PROD” should give the proxy the ability to find the correct master list of RNDBARDI_PROD grid)</w:t>
            </w:r>
          </w:p>
          <w:p w14:paraId="5D09B467" w14:textId="77777777" w:rsidR="00C851DF" w:rsidRDefault="00C851DF" w:rsidP="00C851DF">
            <w:pPr>
              <w:pStyle w:val="Pardeliste"/>
              <w:numPr>
                <w:ilvl w:val="0"/>
                <w:numId w:val="5"/>
              </w:numPr>
              <w:spacing w:after="120"/>
              <w:rPr>
                <w:rFonts w:ascii="Arial" w:hAnsi="Arial" w:cs="Arial"/>
                <w:sz w:val="20"/>
                <w:szCs w:val="20"/>
              </w:rPr>
            </w:pPr>
            <w:r>
              <w:rPr>
                <w:rFonts w:ascii="Arial" w:hAnsi="Arial" w:cs="Arial"/>
                <w:sz w:val="20"/>
                <w:szCs w:val="20"/>
              </w:rPr>
              <w:t>The API class used by the client (see list on the Soam_WS_RFP.TXT File)</w:t>
            </w:r>
          </w:p>
          <w:p w14:paraId="585AA889" w14:textId="77777777" w:rsidR="00C851DF" w:rsidRDefault="00C851DF" w:rsidP="00C851DF">
            <w:pPr>
              <w:pStyle w:val="Pardeliste"/>
              <w:numPr>
                <w:ilvl w:val="0"/>
                <w:numId w:val="5"/>
              </w:numPr>
              <w:spacing w:after="120"/>
              <w:rPr>
                <w:rFonts w:ascii="Arial" w:hAnsi="Arial" w:cs="Arial"/>
                <w:sz w:val="20"/>
                <w:szCs w:val="20"/>
              </w:rPr>
            </w:pPr>
            <w:r>
              <w:rPr>
                <w:rFonts w:ascii="Arial" w:hAnsi="Arial" w:cs="Arial"/>
                <w:sz w:val="20"/>
                <w:szCs w:val="20"/>
              </w:rPr>
              <w:t>Any API parameter that will be used (For example “synchronous” for the session mod) if a parameter is not provided then the application profile default parameter will be used</w:t>
            </w:r>
          </w:p>
          <w:p w14:paraId="290076CC" w14:textId="77777777" w:rsidR="00C851DF" w:rsidRPr="00C851DF" w:rsidRDefault="00C851DF" w:rsidP="00C851DF">
            <w:pPr>
              <w:pStyle w:val="Pardeliste"/>
              <w:numPr>
                <w:ilvl w:val="0"/>
                <w:numId w:val="5"/>
              </w:numPr>
              <w:spacing w:after="120"/>
              <w:rPr>
                <w:rFonts w:ascii="Arial" w:hAnsi="Arial" w:cs="Arial"/>
                <w:sz w:val="20"/>
                <w:szCs w:val="20"/>
              </w:rPr>
            </w:pPr>
            <w:r>
              <w:rPr>
                <w:rFonts w:ascii="Arial" w:hAnsi="Arial" w:cs="Arial"/>
                <w:sz w:val="20"/>
                <w:szCs w:val="20"/>
              </w:rPr>
              <w:t>Inputs for the grid tasks</w:t>
            </w:r>
          </w:p>
          <w:p w14:paraId="11DA4096" w14:textId="77777777" w:rsidR="00A0102B" w:rsidRDefault="00A0102B" w:rsidP="00821AFF">
            <w:pPr>
              <w:spacing w:after="120"/>
              <w:rPr>
                <w:rFonts w:ascii="Arial" w:hAnsi="Arial" w:cs="Arial"/>
                <w:sz w:val="20"/>
                <w:szCs w:val="20"/>
              </w:rPr>
            </w:pPr>
          </w:p>
          <w:p w14:paraId="7CEC711D" w14:textId="77777777" w:rsidR="00361055" w:rsidRDefault="00B645EE" w:rsidP="00821AFF">
            <w:pPr>
              <w:spacing w:after="120"/>
              <w:rPr>
                <w:rFonts w:ascii="Arial" w:hAnsi="Arial" w:cs="Arial"/>
                <w:sz w:val="20"/>
                <w:szCs w:val="20"/>
              </w:rPr>
            </w:pPr>
            <w:r>
              <w:rPr>
                <w:rFonts w:ascii="Arial" w:hAnsi="Arial" w:cs="Arial"/>
                <w:sz w:val="20"/>
                <w:szCs w:val="20"/>
              </w:rPr>
              <w:t>The a</w:t>
            </w:r>
            <w:r w:rsidR="001743A3" w:rsidRPr="001743A3">
              <w:rPr>
                <w:rFonts w:ascii="Arial" w:hAnsi="Arial" w:cs="Arial"/>
                <w:sz w:val="20"/>
                <w:szCs w:val="20"/>
              </w:rPr>
              <w:t xml:space="preserve">uthentication </w:t>
            </w:r>
            <w:r w:rsidR="00361055" w:rsidRPr="001743A3">
              <w:rPr>
                <w:rFonts w:ascii="Arial" w:hAnsi="Arial" w:cs="Arial"/>
                <w:sz w:val="20"/>
                <w:szCs w:val="20"/>
              </w:rPr>
              <w:t>method</w:t>
            </w:r>
            <w:r>
              <w:rPr>
                <w:rFonts w:ascii="Arial" w:hAnsi="Arial" w:cs="Arial"/>
                <w:sz w:val="20"/>
                <w:szCs w:val="20"/>
              </w:rPr>
              <w:t>s</w:t>
            </w:r>
            <w:r w:rsidR="00361055">
              <w:rPr>
                <w:rFonts w:ascii="Arial" w:hAnsi="Arial" w:cs="Arial"/>
                <w:sz w:val="20"/>
                <w:szCs w:val="20"/>
              </w:rPr>
              <w:t xml:space="preserve"> preferred</w:t>
            </w:r>
            <w:r>
              <w:rPr>
                <w:rFonts w:ascii="Arial" w:hAnsi="Arial" w:cs="Arial"/>
                <w:sz w:val="20"/>
                <w:szCs w:val="20"/>
              </w:rPr>
              <w:t xml:space="preserve"> are</w:t>
            </w:r>
            <w:r w:rsidR="00361055">
              <w:rPr>
                <w:rFonts w:ascii="Arial" w:hAnsi="Arial" w:cs="Arial"/>
                <w:sz w:val="20"/>
                <w:szCs w:val="20"/>
              </w:rPr>
              <w:t xml:space="preserve"> </w:t>
            </w:r>
            <w:r w:rsidR="00361055" w:rsidRPr="00361055">
              <w:rPr>
                <w:rFonts w:ascii="Arial" w:hAnsi="Arial" w:cs="Arial"/>
                <w:sz w:val="20"/>
                <w:szCs w:val="20"/>
              </w:rPr>
              <w:t xml:space="preserve">OpenID Connect (OAuth2 profile) </w:t>
            </w:r>
            <w:r>
              <w:rPr>
                <w:rFonts w:ascii="Arial" w:hAnsi="Arial" w:cs="Arial"/>
                <w:sz w:val="20"/>
                <w:szCs w:val="20"/>
              </w:rPr>
              <w:t>and</w:t>
            </w:r>
            <w:r w:rsidR="00C851DF">
              <w:rPr>
                <w:rFonts w:ascii="Arial" w:hAnsi="Arial" w:cs="Arial"/>
                <w:sz w:val="20"/>
                <w:szCs w:val="20"/>
              </w:rPr>
              <w:t>/or</w:t>
            </w:r>
            <w:r w:rsidR="00361055" w:rsidRPr="00361055">
              <w:rPr>
                <w:rFonts w:ascii="Arial" w:hAnsi="Arial" w:cs="Arial"/>
                <w:sz w:val="20"/>
                <w:szCs w:val="20"/>
              </w:rPr>
              <w:t xml:space="preserve"> SAMLv2 (SP </w:t>
            </w:r>
            <w:r w:rsidR="00361055">
              <w:rPr>
                <w:rFonts w:ascii="Arial" w:hAnsi="Arial" w:cs="Arial"/>
                <w:sz w:val="20"/>
                <w:szCs w:val="20"/>
              </w:rPr>
              <w:t>and IDP initiated)</w:t>
            </w:r>
            <w:r>
              <w:rPr>
                <w:rFonts w:ascii="Arial" w:hAnsi="Arial" w:cs="Arial"/>
                <w:sz w:val="20"/>
                <w:szCs w:val="20"/>
              </w:rPr>
              <w:t>. On symphony grid side, the accounts are locally managed by the Symphony password base. The proxy should be able to check, on the SG OpenID server, the credential</w:t>
            </w:r>
            <w:r w:rsidR="00C851DF">
              <w:rPr>
                <w:rFonts w:ascii="Arial" w:hAnsi="Arial" w:cs="Arial"/>
                <w:sz w:val="20"/>
                <w:szCs w:val="20"/>
              </w:rPr>
              <w:t>s</w:t>
            </w:r>
            <w:r>
              <w:rPr>
                <w:rFonts w:ascii="Arial" w:hAnsi="Arial" w:cs="Arial"/>
                <w:sz w:val="20"/>
                <w:szCs w:val="20"/>
              </w:rPr>
              <w:t xml:space="preserve"> validity and then link it to the correct Symphony account (using a </w:t>
            </w:r>
            <w:r w:rsidR="004B5116">
              <w:rPr>
                <w:rFonts w:ascii="Arial" w:hAnsi="Arial" w:cs="Arial"/>
                <w:sz w:val="20"/>
                <w:szCs w:val="20"/>
              </w:rPr>
              <w:t>matching DB/file that stores the related grid accounts encrypted)</w:t>
            </w:r>
            <w:r>
              <w:rPr>
                <w:rFonts w:ascii="Arial" w:hAnsi="Arial" w:cs="Arial"/>
                <w:sz w:val="20"/>
                <w:szCs w:val="20"/>
              </w:rPr>
              <w:t xml:space="preserve"> </w:t>
            </w:r>
          </w:p>
          <w:p w14:paraId="15BC4F56" w14:textId="77777777" w:rsidR="001743A3" w:rsidRDefault="00361055" w:rsidP="00821AFF">
            <w:pPr>
              <w:spacing w:after="120"/>
              <w:rPr>
                <w:rFonts w:ascii="Arial" w:hAnsi="Arial" w:cs="Arial"/>
                <w:sz w:val="20"/>
                <w:szCs w:val="20"/>
              </w:rPr>
            </w:pPr>
            <w:r>
              <w:rPr>
                <w:rFonts w:ascii="Arial" w:hAnsi="Arial" w:cs="Arial"/>
                <w:sz w:val="20"/>
                <w:szCs w:val="20"/>
              </w:rPr>
              <w:t>C</w:t>
            </w:r>
            <w:r w:rsidR="001743A3" w:rsidRPr="001743A3">
              <w:rPr>
                <w:rFonts w:ascii="Arial" w:hAnsi="Arial" w:cs="Arial"/>
                <w:sz w:val="20"/>
                <w:szCs w:val="20"/>
              </w:rPr>
              <w:t xml:space="preserve">onnection traceability should be strong enough on those proxies to </w:t>
            </w:r>
            <w:r>
              <w:rPr>
                <w:rFonts w:ascii="Arial" w:hAnsi="Arial" w:cs="Arial"/>
                <w:sz w:val="20"/>
                <w:szCs w:val="20"/>
              </w:rPr>
              <w:t>ensure</w:t>
            </w:r>
            <w:r w:rsidR="001743A3" w:rsidRPr="001743A3">
              <w:rPr>
                <w:rFonts w:ascii="Arial" w:hAnsi="Arial" w:cs="Arial"/>
                <w:sz w:val="20"/>
                <w:szCs w:val="20"/>
              </w:rPr>
              <w:t xml:space="preserve"> that only Societe Generale resources in Cloud</w:t>
            </w:r>
            <w:r w:rsidR="004B5116">
              <w:rPr>
                <w:rFonts w:ascii="Arial" w:hAnsi="Arial" w:cs="Arial"/>
                <w:sz w:val="20"/>
                <w:szCs w:val="20"/>
              </w:rPr>
              <w:t xml:space="preserve"> could connect to those proxies (</w:t>
            </w:r>
            <w:r w:rsidR="00462ED0">
              <w:rPr>
                <w:rFonts w:ascii="Arial" w:hAnsi="Arial" w:cs="Arial"/>
                <w:sz w:val="20"/>
                <w:szCs w:val="20"/>
              </w:rPr>
              <w:t>depending of the log level set, SG should be able to trace client related events on the proxy with information about IP source, login used and activity)</w:t>
            </w:r>
          </w:p>
          <w:p w14:paraId="743C5BFF" w14:textId="77777777" w:rsidR="00462ED0" w:rsidRDefault="00315F7E" w:rsidP="003D1688">
            <w:pPr>
              <w:spacing w:after="120"/>
              <w:rPr>
                <w:rFonts w:ascii="Arial" w:hAnsi="Arial" w:cs="Arial"/>
                <w:sz w:val="20"/>
                <w:szCs w:val="20"/>
              </w:rPr>
            </w:pPr>
            <w:r>
              <w:rPr>
                <w:rFonts w:ascii="Arial" w:hAnsi="Arial" w:cs="Arial"/>
                <w:sz w:val="20"/>
                <w:szCs w:val="20"/>
              </w:rPr>
              <w:t>T</w:t>
            </w:r>
            <w:r w:rsidR="001743A3" w:rsidRPr="001743A3">
              <w:rPr>
                <w:rFonts w:ascii="Arial" w:hAnsi="Arial" w:cs="Arial"/>
                <w:sz w:val="20"/>
                <w:szCs w:val="20"/>
              </w:rPr>
              <w:t>he</w:t>
            </w:r>
            <w:r>
              <w:rPr>
                <w:rFonts w:ascii="Arial" w:hAnsi="Arial" w:cs="Arial"/>
                <w:sz w:val="20"/>
                <w:szCs w:val="20"/>
              </w:rPr>
              <w:t xml:space="preserve"> proxy </w:t>
            </w:r>
            <w:r w:rsidR="001743A3" w:rsidRPr="001743A3">
              <w:rPr>
                <w:rFonts w:ascii="Arial" w:hAnsi="Arial" w:cs="Arial"/>
                <w:sz w:val="20"/>
                <w:szCs w:val="20"/>
              </w:rPr>
              <w:t>need</w:t>
            </w:r>
            <w:r>
              <w:rPr>
                <w:rFonts w:ascii="Arial" w:hAnsi="Arial" w:cs="Arial"/>
                <w:sz w:val="20"/>
                <w:szCs w:val="20"/>
              </w:rPr>
              <w:t>s</w:t>
            </w:r>
            <w:r w:rsidR="001743A3" w:rsidRPr="001743A3">
              <w:rPr>
                <w:rFonts w:ascii="Arial" w:hAnsi="Arial" w:cs="Arial"/>
                <w:sz w:val="20"/>
                <w:szCs w:val="20"/>
              </w:rPr>
              <w:t xml:space="preserve"> to be resilient. </w:t>
            </w:r>
            <w:r>
              <w:rPr>
                <w:rFonts w:ascii="Arial" w:hAnsi="Arial" w:cs="Arial"/>
                <w:sz w:val="20"/>
                <w:szCs w:val="20"/>
              </w:rPr>
              <w:t>If the proxy is down,</w:t>
            </w:r>
            <w:r w:rsidR="003D1688">
              <w:rPr>
                <w:rFonts w:ascii="Arial" w:hAnsi="Arial" w:cs="Arial"/>
                <w:sz w:val="20"/>
                <w:szCs w:val="20"/>
              </w:rPr>
              <w:t xml:space="preserve"> there should be a way to redirect the requests to other proxies and this should be transparent to users. The </w:t>
            </w:r>
            <w:r w:rsidR="003D1688" w:rsidRPr="003D1688">
              <w:rPr>
                <w:rFonts w:ascii="Arial" w:hAnsi="Arial" w:cs="Arial"/>
                <w:sz w:val="20"/>
                <w:szCs w:val="20"/>
              </w:rPr>
              <w:t>proxies should sustain « scalability » in “horizontal mode” (aka many instances on many VMs, spread across datacenters at least in active/active</w:t>
            </w:r>
            <w:r w:rsidR="00462ED0">
              <w:rPr>
                <w:rFonts w:ascii="Arial" w:hAnsi="Arial" w:cs="Arial"/>
                <w:sz w:val="20"/>
                <w:szCs w:val="20"/>
              </w:rPr>
              <w:t xml:space="preserve"> mod</w:t>
            </w:r>
            <w:r w:rsidR="003D1688" w:rsidRPr="003D1688">
              <w:rPr>
                <w:rFonts w:ascii="Arial" w:hAnsi="Arial" w:cs="Arial"/>
                <w:sz w:val="20"/>
                <w:szCs w:val="20"/>
              </w:rPr>
              <w:t>).</w:t>
            </w:r>
            <w:r w:rsidR="00462ED0">
              <w:rPr>
                <w:rFonts w:ascii="Arial" w:hAnsi="Arial" w:cs="Arial"/>
                <w:sz w:val="20"/>
                <w:szCs w:val="20"/>
              </w:rPr>
              <w:t xml:space="preserve"> Today there are 800 JVMs Symphony clients. More are expected on the coming years. The applications are also heavily used so expect full memory usage (92GB) and network bandwidth limitations (dual 1Gb/s) on cluster management nodes due to the proxy clients activity. </w:t>
            </w:r>
          </w:p>
          <w:p w14:paraId="4AA249F6" w14:textId="77777777" w:rsidR="00462ED0" w:rsidRDefault="00462ED0" w:rsidP="003D1688">
            <w:pPr>
              <w:spacing w:after="120"/>
              <w:rPr>
                <w:rFonts w:ascii="Arial" w:hAnsi="Arial" w:cs="Arial"/>
                <w:sz w:val="20"/>
                <w:szCs w:val="20"/>
              </w:rPr>
            </w:pPr>
          </w:p>
          <w:p w14:paraId="4EFC33D0" w14:textId="77777777" w:rsidR="00462ED0" w:rsidRDefault="00462ED0" w:rsidP="003D1688">
            <w:pPr>
              <w:spacing w:after="120"/>
              <w:rPr>
                <w:rFonts w:ascii="Arial" w:hAnsi="Arial" w:cs="Arial"/>
                <w:sz w:val="20"/>
                <w:szCs w:val="20"/>
              </w:rPr>
            </w:pPr>
            <w:r>
              <w:rPr>
                <w:rFonts w:ascii="Arial" w:hAnsi="Arial" w:cs="Arial"/>
                <w:sz w:val="20"/>
                <w:szCs w:val="20"/>
              </w:rPr>
              <w:t xml:space="preserve">The clients are all using Java 1.6 JVMs. If required, the customer can migrate them to java 1.7/1.8 to support the proxy feature. </w:t>
            </w:r>
          </w:p>
          <w:p w14:paraId="3C5C9D69" w14:textId="77777777" w:rsidR="00462ED0" w:rsidRDefault="00462ED0" w:rsidP="003D1688">
            <w:pPr>
              <w:spacing w:after="120"/>
              <w:rPr>
                <w:rFonts w:ascii="Arial" w:hAnsi="Arial" w:cs="Arial"/>
                <w:sz w:val="20"/>
                <w:szCs w:val="20"/>
              </w:rPr>
            </w:pPr>
          </w:p>
          <w:p w14:paraId="480F9FBC" w14:textId="77777777" w:rsidR="007E0BD7" w:rsidRDefault="007E0BD7" w:rsidP="007E0BD7">
            <w:pPr>
              <w:spacing w:after="120"/>
              <w:rPr>
                <w:rFonts w:ascii="Arial" w:hAnsi="Arial" w:cs="Arial"/>
                <w:sz w:val="20"/>
                <w:szCs w:val="20"/>
                <w:lang w:val="fr-FR"/>
              </w:rPr>
            </w:pPr>
            <w:r>
              <w:rPr>
                <w:rFonts w:ascii="Arial" w:hAnsi="Arial" w:cs="Arial"/>
                <w:sz w:val="20"/>
                <w:szCs w:val="20"/>
                <w:lang w:val="fr-FR"/>
              </w:rPr>
              <w:t>Why only HTTP can be used, but not TCP?</w:t>
            </w:r>
          </w:p>
          <w:p w14:paraId="1A6FB9EE" w14:textId="77777777" w:rsidR="007E0BD7" w:rsidRPr="007E0BD7" w:rsidRDefault="007E0BD7" w:rsidP="007E0BD7">
            <w:pPr>
              <w:spacing w:after="120"/>
              <w:rPr>
                <w:rFonts w:ascii="Arial" w:hAnsi="Arial" w:cs="Arial"/>
                <w:sz w:val="20"/>
                <w:szCs w:val="20"/>
              </w:rPr>
            </w:pPr>
            <w:r w:rsidRPr="007E0BD7">
              <w:rPr>
                <w:rFonts w:ascii="Arial" w:hAnsi="Arial" w:cs="Arial"/>
                <w:sz w:val="20"/>
                <w:szCs w:val="20"/>
              </w:rPr>
              <w:t xml:space="preserve">1.       This position is taken by </w:t>
            </w:r>
            <w:r>
              <w:rPr>
                <w:rFonts w:ascii="Arial" w:hAnsi="Arial" w:cs="Arial"/>
                <w:sz w:val="20"/>
                <w:szCs w:val="20"/>
              </w:rPr>
              <w:t>the</w:t>
            </w:r>
            <w:r w:rsidRPr="007E0BD7">
              <w:rPr>
                <w:rFonts w:ascii="Arial" w:hAnsi="Arial" w:cs="Arial"/>
                <w:sz w:val="20"/>
                <w:szCs w:val="20"/>
              </w:rPr>
              <w:t xml:space="preserve"> security teams</w:t>
            </w:r>
          </w:p>
          <w:p w14:paraId="4B3C8FA4" w14:textId="77777777" w:rsidR="007E0BD7" w:rsidRPr="007E0BD7" w:rsidRDefault="007E0BD7" w:rsidP="007E0BD7">
            <w:pPr>
              <w:spacing w:after="120"/>
              <w:rPr>
                <w:rFonts w:ascii="Arial" w:hAnsi="Arial" w:cs="Arial"/>
                <w:sz w:val="20"/>
                <w:szCs w:val="20"/>
              </w:rPr>
            </w:pPr>
          </w:p>
          <w:p w14:paraId="6D5F588C" w14:textId="77777777" w:rsidR="007E0BD7" w:rsidRPr="007E0BD7" w:rsidRDefault="007E0BD7" w:rsidP="007E0BD7">
            <w:pPr>
              <w:spacing w:after="120"/>
              <w:rPr>
                <w:rFonts w:ascii="Arial" w:hAnsi="Arial" w:cs="Arial"/>
                <w:sz w:val="20"/>
                <w:szCs w:val="20"/>
              </w:rPr>
            </w:pPr>
            <w:r w:rsidRPr="007E0BD7">
              <w:rPr>
                <w:rFonts w:ascii="Arial" w:hAnsi="Arial" w:cs="Arial"/>
                <w:sz w:val="20"/>
                <w:szCs w:val="20"/>
              </w:rPr>
              <w:lastRenderedPageBreak/>
              <w:t xml:space="preserve">a.       Those ones are more comfortable with “well-known” protocols </w:t>
            </w:r>
            <w:r w:rsidR="00361055">
              <w:rPr>
                <w:rFonts w:ascii="Arial" w:hAnsi="Arial" w:cs="Arial"/>
                <w:sz w:val="20"/>
                <w:szCs w:val="20"/>
              </w:rPr>
              <w:t>like https</w:t>
            </w:r>
            <w:r w:rsidRPr="007E0BD7">
              <w:rPr>
                <w:rFonts w:ascii="Arial" w:hAnsi="Arial" w:cs="Arial"/>
                <w:sz w:val="20"/>
                <w:szCs w:val="20"/>
              </w:rPr>
              <w:t xml:space="preserve"> for which we have so many security tools to analyze from OSI level 4 to level 7 this protocol.</w:t>
            </w:r>
          </w:p>
          <w:p w14:paraId="7DD4E81E" w14:textId="77777777" w:rsidR="007E0BD7" w:rsidRPr="007E0BD7" w:rsidRDefault="007E0BD7" w:rsidP="007E0BD7">
            <w:pPr>
              <w:spacing w:after="120"/>
              <w:rPr>
                <w:rFonts w:ascii="Arial" w:hAnsi="Arial" w:cs="Arial"/>
                <w:sz w:val="20"/>
                <w:szCs w:val="20"/>
              </w:rPr>
            </w:pPr>
            <w:r w:rsidRPr="007E0BD7">
              <w:rPr>
                <w:rFonts w:ascii="Arial" w:hAnsi="Arial" w:cs="Arial"/>
                <w:sz w:val="20"/>
                <w:szCs w:val="20"/>
              </w:rPr>
              <w:t>b.       As of today, we have “no view” about the intrinsic of the TCP Symphony protocol implementation in order to do a deep network security risk analysis…</w:t>
            </w:r>
          </w:p>
          <w:p w14:paraId="6BD9D170" w14:textId="77777777" w:rsidR="007E0BD7" w:rsidRDefault="007E0BD7" w:rsidP="007E0BD7">
            <w:pPr>
              <w:spacing w:after="120"/>
              <w:rPr>
                <w:rFonts w:ascii="Arial" w:hAnsi="Arial" w:cs="Arial"/>
                <w:sz w:val="20"/>
                <w:szCs w:val="20"/>
              </w:rPr>
            </w:pPr>
            <w:r w:rsidRPr="007E0BD7">
              <w:rPr>
                <w:rFonts w:ascii="Arial" w:hAnsi="Arial" w:cs="Arial"/>
                <w:sz w:val="20"/>
                <w:szCs w:val="20"/>
              </w:rPr>
              <w:t>i.      Remember that the risk to mitigate is linked to “network intrusion” through an exposed symphony port (aka Master/SSM) to the Cloud</w:t>
            </w:r>
          </w:p>
          <w:p w14:paraId="1E44B059" w14:textId="77777777" w:rsidR="007E0BD7" w:rsidRPr="007E0BD7" w:rsidRDefault="007E0BD7" w:rsidP="007E0BD7">
            <w:pPr>
              <w:spacing w:after="120"/>
              <w:rPr>
                <w:rFonts w:ascii="Arial" w:hAnsi="Arial" w:cs="Arial"/>
                <w:sz w:val="20"/>
                <w:szCs w:val="20"/>
              </w:rPr>
            </w:pPr>
            <w:r w:rsidRPr="007E0BD7">
              <w:rPr>
                <w:rFonts w:ascii="Arial" w:hAnsi="Arial" w:cs="Arial"/>
                <w:sz w:val="20"/>
                <w:szCs w:val="20"/>
              </w:rPr>
              <w:t>_ RESTful API is what we need.</w:t>
            </w:r>
          </w:p>
          <w:p w14:paraId="4C2E0725" w14:textId="77777777" w:rsidR="007E0BD7" w:rsidRDefault="007E0BD7" w:rsidP="007E0BD7">
            <w:pPr>
              <w:spacing w:after="120"/>
              <w:rPr>
                <w:rFonts w:ascii="Arial" w:hAnsi="Arial" w:cs="Arial"/>
                <w:sz w:val="20"/>
                <w:szCs w:val="20"/>
              </w:rPr>
            </w:pPr>
            <w:r w:rsidRPr="007E0BD7">
              <w:rPr>
                <w:rFonts w:ascii="Arial" w:hAnsi="Arial" w:cs="Arial"/>
                <w:sz w:val="20"/>
                <w:szCs w:val="20"/>
              </w:rPr>
              <w:t>_ We should be able to launch several proxies on one host (virtual machine in our case)</w:t>
            </w:r>
          </w:p>
          <w:p w14:paraId="1CD4F4DB" w14:textId="77777777" w:rsidR="00780423" w:rsidRDefault="00E968B0" w:rsidP="007E0BD7">
            <w:pPr>
              <w:spacing w:after="120"/>
              <w:rPr>
                <w:rFonts w:ascii="Arial" w:hAnsi="Arial" w:cs="Arial"/>
                <w:sz w:val="20"/>
                <w:szCs w:val="20"/>
              </w:rPr>
            </w:pPr>
            <w:r>
              <w:rPr>
                <w:rFonts w:ascii="Arial" w:hAnsi="Arial" w:cs="Arial"/>
                <w:sz w:val="20"/>
                <w:szCs w:val="20"/>
              </w:rPr>
              <w:t>Schema of the wanted solution with network flows</w:t>
            </w:r>
            <w:bookmarkStart w:id="0" w:name="_GoBack"/>
            <w:bookmarkEnd w:id="0"/>
            <w:r>
              <w:rPr>
                <w:rFonts w:ascii="Arial" w:hAnsi="Arial" w:cs="Arial"/>
                <w:sz w:val="20"/>
                <w:szCs w:val="20"/>
              </w:rPr>
              <w:t>:</w:t>
            </w:r>
          </w:p>
          <w:p w14:paraId="30C223F1" w14:textId="77777777" w:rsidR="00E968B0" w:rsidRPr="001743A3" w:rsidRDefault="00E968B0" w:rsidP="007E0BD7">
            <w:pPr>
              <w:spacing w:after="120"/>
              <w:rPr>
                <w:rFonts w:ascii="Arial" w:hAnsi="Arial" w:cs="Arial"/>
                <w:sz w:val="20"/>
                <w:szCs w:val="20"/>
              </w:rPr>
            </w:pPr>
            <w:r w:rsidRPr="00E968B0">
              <w:rPr>
                <w:rFonts w:ascii="Arial" w:hAnsi="Arial" w:cs="Arial"/>
                <w:sz w:val="20"/>
                <w:szCs w:val="20"/>
              </w:rPr>
              <w:drawing>
                <wp:inline distT="0" distB="0" distL="0" distR="0" wp14:anchorId="5720014B" wp14:editId="01DE88B2">
                  <wp:extent cx="4920129" cy="2413635"/>
                  <wp:effectExtent l="0" t="0" r="762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924013" cy="2415540"/>
                          </a:xfrm>
                          <a:prstGeom prst="rect">
                            <a:avLst/>
                          </a:prstGeom>
                        </pic:spPr>
                      </pic:pic>
                    </a:graphicData>
                  </a:graphic>
                </wp:inline>
              </w:drawing>
            </w:r>
          </w:p>
        </w:tc>
      </w:tr>
      <w:tr w:rsidR="00821AFF" w14:paraId="0932C8B4" w14:textId="77777777" w:rsidTr="00E968B0">
        <w:tc>
          <w:tcPr>
            <w:tcW w:w="1213" w:type="dxa"/>
            <w:vAlign w:val="center"/>
          </w:tcPr>
          <w:p w14:paraId="7695495F" w14:textId="77777777" w:rsidR="00821AFF" w:rsidRDefault="00821AFF" w:rsidP="00821AFF">
            <w:pPr>
              <w:rPr>
                <w:b/>
                <w:bCs/>
              </w:rPr>
            </w:pPr>
            <w:r>
              <w:rPr>
                <w:rFonts w:ascii="Arial" w:hAnsi="Arial" w:cs="Arial"/>
                <w:b/>
                <w:bCs/>
                <w:sz w:val="20"/>
                <w:szCs w:val="20"/>
              </w:rPr>
              <w:lastRenderedPageBreak/>
              <w:t>Business Justification</w:t>
            </w:r>
          </w:p>
        </w:tc>
        <w:tc>
          <w:tcPr>
            <w:tcW w:w="8137" w:type="dxa"/>
            <w:vAlign w:val="center"/>
          </w:tcPr>
          <w:p w14:paraId="582CC2FD" w14:textId="77777777" w:rsidR="00821AFF" w:rsidRDefault="00821AFF" w:rsidP="00821AFF">
            <w:pPr>
              <w:spacing w:after="120"/>
              <w:rPr>
                <w:rFonts w:ascii="Arial" w:hAnsi="Arial" w:cs="Arial"/>
                <w:sz w:val="20"/>
              </w:rPr>
            </w:pPr>
            <w:r>
              <w:rPr>
                <w:rFonts w:ascii="Arial" w:hAnsi="Arial" w:cs="Arial"/>
                <w:sz w:val="20"/>
              </w:rPr>
              <w:t xml:space="preserve">SocGen </w:t>
            </w:r>
            <w:r w:rsidRPr="009E66BE">
              <w:rPr>
                <w:rFonts w:ascii="Arial" w:hAnsi="Arial" w:cs="Arial"/>
                <w:sz w:val="20"/>
              </w:rPr>
              <w:t>Grid As A Service</w:t>
            </w:r>
            <w:r>
              <w:rPr>
                <w:rFonts w:ascii="Arial" w:hAnsi="Arial" w:cs="Arial"/>
                <w:sz w:val="20"/>
              </w:rPr>
              <w:t xml:space="preserve"> project. Please check with </w:t>
            </w:r>
            <w:hyperlink r:id="rId8" w:history="1">
              <w:r w:rsidRPr="008A017B">
                <w:rPr>
                  <w:rStyle w:val="Lienhypertexte"/>
                  <w:rFonts w:ascii="Arial" w:hAnsi="Arial" w:cs="Arial"/>
                  <w:sz w:val="20"/>
                </w:rPr>
                <w:t>gilles.tourpe@fr.ibm.com</w:t>
              </w:r>
            </w:hyperlink>
            <w:r>
              <w:rPr>
                <w:rFonts w:ascii="Arial" w:hAnsi="Arial" w:cs="Arial"/>
                <w:sz w:val="20"/>
              </w:rPr>
              <w:t xml:space="preserve"> </w:t>
            </w:r>
            <w:r w:rsidR="00462ED0">
              <w:rPr>
                <w:rFonts w:ascii="Arial" w:hAnsi="Arial" w:cs="Arial"/>
                <w:sz w:val="20"/>
              </w:rPr>
              <w:t xml:space="preserve">and </w:t>
            </w:r>
            <w:hyperlink r:id="rId9" w:history="1">
              <w:r w:rsidR="00462ED0" w:rsidRPr="00941456">
                <w:rPr>
                  <w:rStyle w:val="Lienhypertexte"/>
                  <w:rFonts w:ascii="Arial" w:hAnsi="Arial" w:cs="Arial"/>
                  <w:sz w:val="20"/>
                </w:rPr>
                <w:t>alexandre.rodrigues@fr.ibm.com</w:t>
              </w:r>
            </w:hyperlink>
            <w:r w:rsidR="00462ED0">
              <w:rPr>
                <w:rFonts w:ascii="Arial" w:hAnsi="Arial" w:cs="Arial"/>
                <w:sz w:val="20"/>
              </w:rPr>
              <w:t xml:space="preserve"> </w:t>
            </w:r>
            <w:r>
              <w:rPr>
                <w:rFonts w:ascii="Arial" w:hAnsi="Arial" w:cs="Arial"/>
                <w:sz w:val="20"/>
              </w:rPr>
              <w:t xml:space="preserve">for more business impact. </w:t>
            </w:r>
          </w:p>
          <w:p w14:paraId="484138F4" w14:textId="77777777" w:rsidR="00821AFF" w:rsidRDefault="00821AFF" w:rsidP="00821AFF">
            <w:pPr>
              <w:spacing w:after="120"/>
              <w:rPr>
                <w:rFonts w:ascii="Arial" w:hAnsi="Arial" w:cs="Arial"/>
                <w:sz w:val="20"/>
              </w:rPr>
            </w:pPr>
          </w:p>
        </w:tc>
      </w:tr>
    </w:tbl>
    <w:p w14:paraId="7C4A4F9E" w14:textId="77777777" w:rsidR="0070769C" w:rsidRDefault="0070769C"/>
    <w:sectPr w:rsidR="007076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宋体">
    <w:charset w:val="86"/>
    <w:family w:val="auto"/>
    <w:pitch w:val="variable"/>
    <w:sig w:usb0="00000003" w:usb1="288F0000" w:usb2="00000016" w:usb3="00000000" w:csb0="00040001" w:csb1="00000000"/>
  </w:font>
  <w:font w:name="Courier New">
    <w:panose1 w:val="02070309020205020404"/>
    <w:charset w:val="00"/>
    <w:family w:val="auto"/>
    <w:pitch w:val="variable"/>
    <w:sig w:usb0="E0002AFF" w:usb1="C0007843" w:usb2="00000009" w:usb3="00000000" w:csb0="000001FF" w:csb1="00000000"/>
  </w:font>
  <w:font w:name="Times New Roman">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Helv">
    <w:charset w:val="00"/>
    <w:family w:val="auto"/>
    <w:pitch w:val="variable"/>
    <w:sig w:usb0="E00002FF" w:usb1="5000785B" w:usb2="00000000" w:usb3="00000000" w:csb0="0000019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0E152E"/>
    <w:multiLevelType w:val="hybridMultilevel"/>
    <w:tmpl w:val="48A453E8"/>
    <w:lvl w:ilvl="0" w:tplc="E7CCFFF0">
      <w:start w:val="2"/>
      <w:numFmt w:val="bullet"/>
      <w:lvlText w:val="-"/>
      <w:lvlJc w:val="left"/>
      <w:pPr>
        <w:ind w:left="720" w:hanging="360"/>
      </w:pPr>
      <w:rPr>
        <w:rFonts w:ascii="Arial" w:eastAsia="宋体"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8E412BB"/>
    <w:multiLevelType w:val="hybridMultilevel"/>
    <w:tmpl w:val="D20A7678"/>
    <w:lvl w:ilvl="0" w:tplc="41409252">
      <w:start w:val="1"/>
      <w:numFmt w:val="decimal"/>
      <w:lvlText w:val="%1."/>
      <w:lvlJc w:val="left"/>
      <w:pPr>
        <w:ind w:left="720" w:hanging="360"/>
      </w:pPr>
      <w:rPr>
        <w:rFonts w:ascii="Arial" w:hAnsi="Arial" w:cs="Arial"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0173935"/>
    <w:multiLevelType w:val="hybridMultilevel"/>
    <w:tmpl w:val="59FA3B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E1D2619"/>
    <w:multiLevelType w:val="hybridMultilevel"/>
    <w:tmpl w:val="59FA3B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6863E18"/>
    <w:multiLevelType w:val="hybridMultilevel"/>
    <w:tmpl w:val="A0EC2558"/>
    <w:lvl w:ilvl="0" w:tplc="41409252">
      <w:start w:val="1"/>
      <w:numFmt w:val="decimal"/>
      <w:lvlText w:val="%1."/>
      <w:lvlJc w:val="left"/>
      <w:pPr>
        <w:ind w:left="720" w:hanging="360"/>
      </w:pPr>
      <w:rPr>
        <w:rFonts w:ascii="Arial" w:hAnsi="Arial" w:cs="Arial"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B24"/>
    <w:rsid w:val="00002B75"/>
    <w:rsid w:val="00007A79"/>
    <w:rsid w:val="00010B24"/>
    <w:rsid w:val="0002402F"/>
    <w:rsid w:val="00034620"/>
    <w:rsid w:val="00035136"/>
    <w:rsid w:val="00066293"/>
    <w:rsid w:val="000772F9"/>
    <w:rsid w:val="00085DEE"/>
    <w:rsid w:val="000A1C39"/>
    <w:rsid w:val="000B588A"/>
    <w:rsid w:val="000C0E34"/>
    <w:rsid w:val="000C725A"/>
    <w:rsid w:val="000D3521"/>
    <w:rsid w:val="0010369C"/>
    <w:rsid w:val="00145A5B"/>
    <w:rsid w:val="0015386C"/>
    <w:rsid w:val="00155824"/>
    <w:rsid w:val="001560C1"/>
    <w:rsid w:val="001743A3"/>
    <w:rsid w:val="00192DE9"/>
    <w:rsid w:val="001A2268"/>
    <w:rsid w:val="001B471B"/>
    <w:rsid w:val="001B7B52"/>
    <w:rsid w:val="001D59C3"/>
    <w:rsid w:val="002254B7"/>
    <w:rsid w:val="00225DB3"/>
    <w:rsid w:val="002710BA"/>
    <w:rsid w:val="002C10D6"/>
    <w:rsid w:val="002F1779"/>
    <w:rsid w:val="00300A22"/>
    <w:rsid w:val="00311312"/>
    <w:rsid w:val="00311CDD"/>
    <w:rsid w:val="00315F7E"/>
    <w:rsid w:val="00344D77"/>
    <w:rsid w:val="003609BE"/>
    <w:rsid w:val="00361055"/>
    <w:rsid w:val="003772D3"/>
    <w:rsid w:val="00383393"/>
    <w:rsid w:val="003A4491"/>
    <w:rsid w:val="003B6779"/>
    <w:rsid w:val="003D1688"/>
    <w:rsid w:val="00414922"/>
    <w:rsid w:val="0041658D"/>
    <w:rsid w:val="004241DF"/>
    <w:rsid w:val="00462ED0"/>
    <w:rsid w:val="004971EA"/>
    <w:rsid w:val="004B5116"/>
    <w:rsid w:val="004C6E69"/>
    <w:rsid w:val="004D3E16"/>
    <w:rsid w:val="004D6D0D"/>
    <w:rsid w:val="004F0321"/>
    <w:rsid w:val="005211C9"/>
    <w:rsid w:val="00527D89"/>
    <w:rsid w:val="00531A86"/>
    <w:rsid w:val="00545CAA"/>
    <w:rsid w:val="0054607F"/>
    <w:rsid w:val="005529C3"/>
    <w:rsid w:val="00562EE1"/>
    <w:rsid w:val="00563343"/>
    <w:rsid w:val="0056632D"/>
    <w:rsid w:val="00572F2C"/>
    <w:rsid w:val="00574295"/>
    <w:rsid w:val="00581616"/>
    <w:rsid w:val="005865DB"/>
    <w:rsid w:val="0059683D"/>
    <w:rsid w:val="005970CD"/>
    <w:rsid w:val="005B47ED"/>
    <w:rsid w:val="005C2782"/>
    <w:rsid w:val="005C5973"/>
    <w:rsid w:val="005D2123"/>
    <w:rsid w:val="005D62B3"/>
    <w:rsid w:val="005F5CEE"/>
    <w:rsid w:val="006164B7"/>
    <w:rsid w:val="00626F43"/>
    <w:rsid w:val="006337DD"/>
    <w:rsid w:val="00684EFD"/>
    <w:rsid w:val="00687AD7"/>
    <w:rsid w:val="006E7070"/>
    <w:rsid w:val="0070769C"/>
    <w:rsid w:val="00714EBF"/>
    <w:rsid w:val="007366A7"/>
    <w:rsid w:val="00736D9B"/>
    <w:rsid w:val="0074616E"/>
    <w:rsid w:val="0074784E"/>
    <w:rsid w:val="00747DF3"/>
    <w:rsid w:val="00750403"/>
    <w:rsid w:val="007511A3"/>
    <w:rsid w:val="007758C8"/>
    <w:rsid w:val="00780423"/>
    <w:rsid w:val="00790AA3"/>
    <w:rsid w:val="007A4260"/>
    <w:rsid w:val="007B1F5A"/>
    <w:rsid w:val="007B56A6"/>
    <w:rsid w:val="007E0BD7"/>
    <w:rsid w:val="007E712D"/>
    <w:rsid w:val="007E7F09"/>
    <w:rsid w:val="007F2A5F"/>
    <w:rsid w:val="00821AFF"/>
    <w:rsid w:val="00842164"/>
    <w:rsid w:val="00872DA1"/>
    <w:rsid w:val="0088725B"/>
    <w:rsid w:val="00892033"/>
    <w:rsid w:val="00897066"/>
    <w:rsid w:val="008C3163"/>
    <w:rsid w:val="008D3947"/>
    <w:rsid w:val="00914970"/>
    <w:rsid w:val="009455D9"/>
    <w:rsid w:val="0096629B"/>
    <w:rsid w:val="00975032"/>
    <w:rsid w:val="00991B35"/>
    <w:rsid w:val="00996CCE"/>
    <w:rsid w:val="009C4C36"/>
    <w:rsid w:val="009D3C2A"/>
    <w:rsid w:val="009E66BE"/>
    <w:rsid w:val="009E7774"/>
    <w:rsid w:val="009F06CC"/>
    <w:rsid w:val="00A0102B"/>
    <w:rsid w:val="00A053FE"/>
    <w:rsid w:val="00A07B63"/>
    <w:rsid w:val="00A17DCE"/>
    <w:rsid w:val="00A442FF"/>
    <w:rsid w:val="00AB5F5E"/>
    <w:rsid w:val="00AD3E3B"/>
    <w:rsid w:val="00AF353B"/>
    <w:rsid w:val="00B029BD"/>
    <w:rsid w:val="00B23412"/>
    <w:rsid w:val="00B645EE"/>
    <w:rsid w:val="00B861FF"/>
    <w:rsid w:val="00B93C53"/>
    <w:rsid w:val="00BA538A"/>
    <w:rsid w:val="00BD36D4"/>
    <w:rsid w:val="00BF50A4"/>
    <w:rsid w:val="00BF5225"/>
    <w:rsid w:val="00C05E40"/>
    <w:rsid w:val="00C819B5"/>
    <w:rsid w:val="00C851DF"/>
    <w:rsid w:val="00CF5681"/>
    <w:rsid w:val="00D00240"/>
    <w:rsid w:val="00D07A7D"/>
    <w:rsid w:val="00D254B3"/>
    <w:rsid w:val="00D328E5"/>
    <w:rsid w:val="00D86600"/>
    <w:rsid w:val="00DC3575"/>
    <w:rsid w:val="00DD6E75"/>
    <w:rsid w:val="00E21AB1"/>
    <w:rsid w:val="00E431CB"/>
    <w:rsid w:val="00E5057B"/>
    <w:rsid w:val="00E548AE"/>
    <w:rsid w:val="00E67B4F"/>
    <w:rsid w:val="00E842E2"/>
    <w:rsid w:val="00E968B0"/>
    <w:rsid w:val="00EB6914"/>
    <w:rsid w:val="00ED11DA"/>
    <w:rsid w:val="00EE4023"/>
    <w:rsid w:val="00F0439E"/>
    <w:rsid w:val="00F07AD5"/>
    <w:rsid w:val="00F64492"/>
    <w:rsid w:val="00F65686"/>
    <w:rsid w:val="00F8199D"/>
    <w:rsid w:val="00F85EE5"/>
    <w:rsid w:val="00FB7FB9"/>
    <w:rsid w:val="00FC161A"/>
    <w:rsid w:val="00FD20E6"/>
    <w:rsid w:val="00FD25C5"/>
    <w:rsid w:val="00FE5128"/>
    <w:rsid w:val="00FF2A34"/>
    <w:rsid w:val="00FF5D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FB016"/>
  <w15:chartTrackingRefBased/>
  <w15:docId w15:val="{5B24B788-3CD2-42E0-8E77-0501F8849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82">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spacing w:after="160" w:line="259" w:lineRule="auto"/>
    </w:pPr>
    <w:rPr>
      <w:sz w:val="22"/>
      <w:szCs w:val="22"/>
    </w:rPr>
  </w:style>
  <w:style w:type="paragraph" w:styleId="Titre1">
    <w:name w:val="heading 1"/>
    <w:basedOn w:val="Normal"/>
    <w:next w:val="Normal"/>
    <w:link w:val="Titre1Car"/>
    <w:qFormat/>
    <w:rsid w:val="00010B24"/>
    <w:pPr>
      <w:keepNext/>
      <w:spacing w:after="0" w:line="240" w:lineRule="auto"/>
      <w:outlineLvl w:val="0"/>
    </w:pPr>
    <w:rPr>
      <w:rFonts w:ascii="Arial" w:eastAsia="Times New Roman" w:hAnsi="Arial" w:cs="Arial"/>
      <w:b/>
      <w:bCs/>
      <w:sz w:val="20"/>
      <w:szCs w:val="20"/>
      <w:lang w:eastAsia="en-US"/>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rsid w:val="00010B24"/>
    <w:rPr>
      <w:rFonts w:ascii="Arial" w:eastAsia="Times New Roman" w:hAnsi="Arial" w:cs="Arial"/>
      <w:b/>
      <w:bCs/>
      <w:lang w:eastAsia="en-US"/>
    </w:rPr>
  </w:style>
  <w:style w:type="character" w:styleId="Lienhypertexte">
    <w:name w:val="Hyperlink"/>
    <w:uiPriority w:val="99"/>
    <w:unhideWhenUsed/>
    <w:rsid w:val="00892033"/>
    <w:rPr>
      <w:color w:val="0000FF"/>
      <w:u w:val="single"/>
    </w:rPr>
  </w:style>
  <w:style w:type="paragraph" w:styleId="Pardeliste">
    <w:name w:val="List Paragraph"/>
    <w:basedOn w:val="Normal"/>
    <w:uiPriority w:val="34"/>
    <w:qFormat/>
    <w:rsid w:val="00C851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689307">
      <w:bodyDiv w:val="1"/>
      <w:marLeft w:val="0"/>
      <w:marRight w:val="0"/>
      <w:marTop w:val="0"/>
      <w:marBottom w:val="0"/>
      <w:divBdr>
        <w:top w:val="none" w:sz="0" w:space="0" w:color="auto"/>
        <w:left w:val="none" w:sz="0" w:space="0" w:color="auto"/>
        <w:bottom w:val="none" w:sz="0" w:space="0" w:color="auto"/>
        <w:right w:val="none" w:sz="0" w:space="0" w:color="auto"/>
      </w:divBdr>
    </w:div>
    <w:div w:id="600183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emf"/><Relationship Id="rId6" Type="http://schemas.openxmlformats.org/officeDocument/2006/relationships/oleObject" Target="embeddings/oleObject1.bin"/><Relationship Id="rId7" Type="http://schemas.openxmlformats.org/officeDocument/2006/relationships/image" Target="media/image2.tiff"/><Relationship Id="rId8" Type="http://schemas.openxmlformats.org/officeDocument/2006/relationships/hyperlink" Target="mailto:gilles.tourpe@fr.ibm.com" TargetMode="External"/><Relationship Id="rId9" Type="http://schemas.openxmlformats.org/officeDocument/2006/relationships/hyperlink" Target="mailto:alexandre.rodrigues@fr.ibm.com"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3</Pages>
  <Words>674</Words>
  <Characters>3712</Characters>
  <Application>Microsoft Macintosh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IBM Corporation</Company>
  <LinksUpToDate>false</LinksUpToDate>
  <CharactersWithSpaces>4378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ADMINIBM</dc:creator>
  <cp:keywords/>
  <dc:description/>
  <cp:lastModifiedBy>Utilisateur de Microsoft Office</cp:lastModifiedBy>
  <cp:revision>9</cp:revision>
  <dcterms:created xsi:type="dcterms:W3CDTF">2016-06-20T05:46:00Z</dcterms:created>
  <dcterms:modified xsi:type="dcterms:W3CDTF">2016-11-07T20:40:00Z</dcterms:modified>
</cp:coreProperties>
</file>