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6948"/>
      </w:tblGrid>
      <w:tr w:rsidR="00010B24" w:rsidTr="00986E26">
        <w:tc>
          <w:tcPr>
            <w:tcW w:w="2380" w:type="dxa"/>
            <w:vAlign w:val="center"/>
          </w:tcPr>
          <w:p w:rsidR="00010B24" w:rsidRDefault="00010B24" w:rsidP="00986E26">
            <w:pPr>
              <w:rPr>
                <w:b/>
                <w:bCs/>
              </w:rPr>
            </w:pPr>
            <w:r>
              <w:rPr>
                <w:rFonts w:ascii="Arial" w:hAnsi="Arial" w:cs="Arial"/>
                <w:b/>
                <w:bCs/>
                <w:sz w:val="20"/>
                <w:szCs w:val="20"/>
              </w:rPr>
              <w:t>Headline</w:t>
            </w:r>
          </w:p>
        </w:tc>
        <w:tc>
          <w:tcPr>
            <w:tcW w:w="6948" w:type="dxa"/>
            <w:vAlign w:val="center"/>
          </w:tcPr>
          <w:p w:rsidR="00010B24" w:rsidRDefault="00E46D87" w:rsidP="00CE0A09">
            <w:pPr>
              <w:spacing w:before="120" w:after="120"/>
              <w:rPr>
                <w:rFonts w:ascii="Arial" w:hAnsi="Arial" w:cs="Arial"/>
                <w:sz w:val="20"/>
              </w:rPr>
            </w:pPr>
            <w:r>
              <w:rPr>
                <w:rFonts w:ascii="Arial" w:hAnsi="Arial" w:cs="Arial"/>
                <w:sz w:val="20"/>
              </w:rPr>
              <w:t xml:space="preserve">Cluster </w:t>
            </w:r>
            <w:r w:rsidR="00CE0A09">
              <w:rPr>
                <w:rFonts w:ascii="Arial" w:hAnsi="Arial" w:cs="Arial"/>
                <w:sz w:val="20"/>
              </w:rPr>
              <w:t>Side</w:t>
            </w:r>
            <w:r>
              <w:rPr>
                <w:rFonts w:ascii="Arial" w:hAnsi="Arial" w:cs="Arial"/>
                <w:sz w:val="20"/>
              </w:rPr>
              <w:t xml:space="preserve"> </w:t>
            </w:r>
            <w:r w:rsidR="00286815">
              <w:rPr>
                <w:rFonts w:ascii="Arial" w:hAnsi="Arial" w:cs="Arial"/>
                <w:sz w:val="20"/>
              </w:rPr>
              <w:t>Error Handling Configuration for Multi-SSM Application</w:t>
            </w:r>
          </w:p>
        </w:tc>
      </w:tr>
      <w:tr w:rsidR="00010B24" w:rsidTr="00986E26">
        <w:tc>
          <w:tcPr>
            <w:tcW w:w="2380" w:type="dxa"/>
            <w:vAlign w:val="center"/>
          </w:tcPr>
          <w:p w:rsidR="00010B24" w:rsidRDefault="00010B24" w:rsidP="00986E26">
            <w:pPr>
              <w:pStyle w:val="Heading1"/>
            </w:pPr>
            <w:r>
              <w:t>Company</w:t>
            </w:r>
          </w:p>
        </w:tc>
        <w:tc>
          <w:tcPr>
            <w:tcW w:w="6948" w:type="dxa"/>
            <w:vAlign w:val="center"/>
          </w:tcPr>
          <w:p w:rsidR="00010B24" w:rsidRDefault="00010B24" w:rsidP="00986E26">
            <w:pPr>
              <w:spacing w:before="120" w:after="120"/>
              <w:rPr>
                <w:rFonts w:ascii="Arial" w:hAnsi="Arial" w:cs="Arial"/>
                <w:sz w:val="20"/>
                <w:szCs w:val="20"/>
              </w:rPr>
            </w:pPr>
            <w:proofErr w:type="spellStart"/>
            <w:r>
              <w:rPr>
                <w:rFonts w:ascii="Arial" w:hAnsi="Arial" w:cs="Arial"/>
                <w:sz w:val="20"/>
                <w:szCs w:val="20"/>
              </w:rPr>
              <w:t>SocGen</w:t>
            </w:r>
            <w:proofErr w:type="spellEnd"/>
          </w:p>
        </w:tc>
      </w:tr>
      <w:tr w:rsidR="00010B24" w:rsidTr="00986E26">
        <w:tc>
          <w:tcPr>
            <w:tcW w:w="2380" w:type="dxa"/>
            <w:vAlign w:val="center"/>
          </w:tcPr>
          <w:p w:rsidR="00010B24" w:rsidRDefault="00010B24" w:rsidP="00986E26">
            <w:pPr>
              <w:pStyle w:val="Heading1"/>
            </w:pPr>
            <w:r>
              <w:t>Ranking of Priority</w:t>
            </w:r>
          </w:p>
        </w:tc>
        <w:tc>
          <w:tcPr>
            <w:tcW w:w="6948" w:type="dxa"/>
            <w:vAlign w:val="center"/>
          </w:tcPr>
          <w:p w:rsidR="00010B24" w:rsidRDefault="00010B24" w:rsidP="00986E26">
            <w:pPr>
              <w:spacing w:before="120" w:after="120"/>
              <w:rPr>
                <w:rFonts w:ascii="Arial" w:hAnsi="Arial" w:cs="Arial"/>
                <w:sz w:val="20"/>
                <w:szCs w:val="20"/>
              </w:rPr>
            </w:pPr>
            <w:r w:rsidRPr="004C7DA0">
              <w:rPr>
                <w:rFonts w:ascii="Arial" w:hAnsi="Arial" w:cs="Arial"/>
                <w:sz w:val="20"/>
                <w:szCs w:val="20"/>
              </w:rPr>
              <w:t>High - Lack of RFE functionality is a major road block to deployment/adoption</w:t>
            </w:r>
          </w:p>
        </w:tc>
      </w:tr>
      <w:tr w:rsidR="00010B24" w:rsidTr="00986E26">
        <w:tc>
          <w:tcPr>
            <w:tcW w:w="2380" w:type="dxa"/>
            <w:vAlign w:val="center"/>
          </w:tcPr>
          <w:p w:rsidR="00010B24" w:rsidRDefault="00010B24" w:rsidP="00986E26">
            <w:pPr>
              <w:pStyle w:val="Heading1"/>
            </w:pPr>
            <w:r>
              <w:t>Brand</w:t>
            </w:r>
          </w:p>
        </w:tc>
        <w:tc>
          <w:tcPr>
            <w:tcW w:w="6948" w:type="dxa"/>
            <w:vAlign w:val="center"/>
          </w:tcPr>
          <w:p w:rsidR="00010B24" w:rsidRDefault="00010B24" w:rsidP="00986E26">
            <w:pPr>
              <w:spacing w:before="120" w:after="120"/>
              <w:rPr>
                <w:rFonts w:ascii="Arial" w:hAnsi="Arial" w:cs="Arial"/>
                <w:sz w:val="20"/>
                <w:szCs w:val="20"/>
              </w:rPr>
            </w:pPr>
            <w:r>
              <w:rPr>
                <w:rFonts w:ascii="Arial" w:hAnsi="Arial" w:cs="Arial"/>
                <w:sz w:val="20"/>
                <w:szCs w:val="20"/>
              </w:rPr>
              <w:t>Servers and Systems Software</w:t>
            </w:r>
          </w:p>
        </w:tc>
      </w:tr>
      <w:tr w:rsidR="00010B24" w:rsidTr="00986E26">
        <w:tc>
          <w:tcPr>
            <w:tcW w:w="2380" w:type="dxa"/>
            <w:vAlign w:val="center"/>
          </w:tcPr>
          <w:p w:rsidR="00010B24" w:rsidRDefault="00010B24" w:rsidP="00986E26">
            <w:pPr>
              <w:pStyle w:val="Heading1"/>
            </w:pPr>
            <w:r>
              <w:t>Product Family</w:t>
            </w:r>
          </w:p>
        </w:tc>
        <w:tc>
          <w:tcPr>
            <w:tcW w:w="6948" w:type="dxa"/>
            <w:vAlign w:val="center"/>
          </w:tcPr>
          <w:p w:rsidR="00010B24" w:rsidRDefault="00010B24" w:rsidP="00986E26">
            <w:pPr>
              <w:spacing w:before="120" w:after="120"/>
              <w:rPr>
                <w:rFonts w:ascii="Arial" w:hAnsi="Arial" w:cs="Arial"/>
                <w:sz w:val="20"/>
                <w:szCs w:val="20"/>
              </w:rPr>
            </w:pPr>
            <w:r>
              <w:rPr>
                <w:rFonts w:ascii="Arial" w:hAnsi="Arial" w:cs="Arial"/>
                <w:sz w:val="20"/>
                <w:szCs w:val="20"/>
              </w:rPr>
              <w:t>Spectrum Computing</w:t>
            </w:r>
          </w:p>
        </w:tc>
      </w:tr>
      <w:tr w:rsidR="00010B24" w:rsidTr="00986E26">
        <w:tc>
          <w:tcPr>
            <w:tcW w:w="2380" w:type="dxa"/>
            <w:vAlign w:val="center"/>
          </w:tcPr>
          <w:p w:rsidR="00010B24" w:rsidRDefault="00010B24" w:rsidP="00986E26">
            <w:pPr>
              <w:pStyle w:val="Heading1"/>
            </w:pPr>
            <w:r>
              <w:t>Product</w:t>
            </w:r>
          </w:p>
        </w:tc>
        <w:tc>
          <w:tcPr>
            <w:tcW w:w="6948" w:type="dxa"/>
            <w:vAlign w:val="center"/>
          </w:tcPr>
          <w:p w:rsidR="00010B24" w:rsidRDefault="00010B24" w:rsidP="00986E26">
            <w:pPr>
              <w:spacing w:before="120" w:after="120"/>
              <w:rPr>
                <w:rFonts w:ascii="Arial" w:hAnsi="Arial" w:cs="Arial"/>
                <w:sz w:val="20"/>
              </w:rPr>
            </w:pPr>
            <w:r>
              <w:rPr>
                <w:rFonts w:ascii="Arial" w:hAnsi="Arial" w:cs="Arial"/>
                <w:sz w:val="20"/>
                <w:szCs w:val="20"/>
              </w:rPr>
              <w:t>Spectrum</w:t>
            </w:r>
            <w:r w:rsidR="005D2123">
              <w:rPr>
                <w:rFonts w:ascii="Arial" w:hAnsi="Arial" w:cs="Arial"/>
                <w:sz w:val="20"/>
                <w:szCs w:val="20"/>
              </w:rPr>
              <w:t xml:space="preserve"> Symphony</w:t>
            </w:r>
          </w:p>
        </w:tc>
      </w:tr>
      <w:tr w:rsidR="00010B24" w:rsidTr="00986E26">
        <w:tc>
          <w:tcPr>
            <w:tcW w:w="2380" w:type="dxa"/>
            <w:vAlign w:val="center"/>
          </w:tcPr>
          <w:p w:rsidR="00010B24" w:rsidRDefault="00010B24" w:rsidP="00986E26">
            <w:pPr>
              <w:rPr>
                <w:b/>
                <w:bCs/>
              </w:rPr>
            </w:pPr>
            <w:r>
              <w:rPr>
                <w:rFonts w:ascii="Arial" w:hAnsi="Arial" w:cs="Arial"/>
                <w:b/>
                <w:bCs/>
                <w:sz w:val="20"/>
                <w:szCs w:val="20"/>
              </w:rPr>
              <w:t>Component</w:t>
            </w:r>
          </w:p>
        </w:tc>
        <w:tc>
          <w:tcPr>
            <w:tcW w:w="6948" w:type="dxa"/>
            <w:vAlign w:val="center"/>
          </w:tcPr>
          <w:p w:rsidR="00010B24" w:rsidRDefault="00010B24" w:rsidP="00986E26">
            <w:pPr>
              <w:spacing w:before="120" w:after="120"/>
              <w:rPr>
                <w:rFonts w:ascii="Arial" w:hAnsi="Arial" w:cs="Arial"/>
                <w:sz w:val="20"/>
              </w:rPr>
            </w:pPr>
            <w:r>
              <w:rPr>
                <w:rFonts w:ascii="Arial" w:hAnsi="Arial" w:cs="Arial"/>
                <w:sz w:val="20"/>
              </w:rPr>
              <w:t>Version 7.1.1</w:t>
            </w:r>
          </w:p>
        </w:tc>
      </w:tr>
      <w:tr w:rsidR="00821AFF" w:rsidTr="00986E26">
        <w:tc>
          <w:tcPr>
            <w:tcW w:w="2380" w:type="dxa"/>
            <w:vAlign w:val="center"/>
          </w:tcPr>
          <w:p w:rsidR="00821AFF" w:rsidRDefault="00821AFF" w:rsidP="00821AFF">
            <w:pPr>
              <w:rPr>
                <w:rFonts w:ascii="Arial" w:hAnsi="Arial" w:cs="Arial"/>
                <w:b/>
                <w:bCs/>
                <w:sz w:val="20"/>
                <w:szCs w:val="20"/>
              </w:rPr>
            </w:pPr>
            <w:r>
              <w:rPr>
                <w:rFonts w:ascii="Arial" w:hAnsi="Arial" w:cs="Arial"/>
                <w:b/>
                <w:bCs/>
                <w:sz w:val="20"/>
                <w:szCs w:val="20"/>
              </w:rPr>
              <w:t>Operating System</w:t>
            </w:r>
          </w:p>
        </w:tc>
        <w:tc>
          <w:tcPr>
            <w:tcW w:w="6948" w:type="dxa"/>
            <w:vAlign w:val="center"/>
          </w:tcPr>
          <w:p w:rsidR="00821AFF" w:rsidRDefault="00EE6AD0" w:rsidP="00821AFF">
            <w:pPr>
              <w:spacing w:before="120" w:after="120"/>
              <w:rPr>
                <w:rFonts w:ascii="Arial" w:hAnsi="Arial" w:cs="Arial"/>
                <w:sz w:val="20"/>
              </w:rPr>
            </w:pPr>
            <w:r>
              <w:rPr>
                <w:rFonts w:ascii="Arial" w:hAnsi="Arial" w:cs="Arial"/>
                <w:sz w:val="20"/>
              </w:rPr>
              <w:t>Multiple</w:t>
            </w:r>
          </w:p>
        </w:tc>
      </w:tr>
      <w:tr w:rsidR="00821AFF" w:rsidTr="00986E26">
        <w:tc>
          <w:tcPr>
            <w:tcW w:w="2380" w:type="dxa"/>
            <w:vAlign w:val="center"/>
          </w:tcPr>
          <w:p w:rsidR="00821AFF" w:rsidRDefault="00821AFF" w:rsidP="00821AFF">
            <w:pPr>
              <w:rPr>
                <w:b/>
                <w:bCs/>
              </w:rPr>
            </w:pPr>
            <w:r>
              <w:rPr>
                <w:rFonts w:ascii="Arial" w:hAnsi="Arial" w:cs="Arial"/>
                <w:b/>
                <w:bCs/>
                <w:sz w:val="20"/>
                <w:szCs w:val="20"/>
              </w:rPr>
              <w:t>PMR ID</w:t>
            </w:r>
          </w:p>
        </w:tc>
        <w:tc>
          <w:tcPr>
            <w:tcW w:w="6948" w:type="dxa"/>
            <w:vAlign w:val="center"/>
          </w:tcPr>
          <w:p w:rsidR="00821AFF" w:rsidRDefault="00E46D87" w:rsidP="00821AFF">
            <w:pPr>
              <w:spacing w:before="120" w:after="120"/>
              <w:rPr>
                <w:rFonts w:ascii="Arial" w:hAnsi="Arial" w:cs="Arial"/>
                <w:sz w:val="20"/>
              </w:rPr>
            </w:pPr>
            <w:r w:rsidRPr="00E46D87">
              <w:rPr>
                <w:rFonts w:ascii="Arial" w:hAnsi="Arial" w:cs="Arial"/>
                <w:sz w:val="20"/>
              </w:rPr>
              <w:t>65552,660,706</w:t>
            </w:r>
          </w:p>
        </w:tc>
      </w:tr>
      <w:tr w:rsidR="00821AFF" w:rsidTr="00986E26">
        <w:tc>
          <w:tcPr>
            <w:tcW w:w="2380" w:type="dxa"/>
            <w:vAlign w:val="center"/>
          </w:tcPr>
          <w:p w:rsidR="00821AFF" w:rsidRDefault="00821AFF" w:rsidP="00821AFF">
            <w:pPr>
              <w:rPr>
                <w:b/>
                <w:bCs/>
              </w:rPr>
            </w:pPr>
            <w:r>
              <w:rPr>
                <w:rFonts w:ascii="Arial" w:hAnsi="Arial" w:cs="Arial"/>
                <w:b/>
                <w:bCs/>
                <w:sz w:val="20"/>
                <w:szCs w:val="20"/>
              </w:rPr>
              <w:t>Problem Description</w:t>
            </w:r>
          </w:p>
        </w:tc>
        <w:tc>
          <w:tcPr>
            <w:tcW w:w="6948" w:type="dxa"/>
            <w:vAlign w:val="center"/>
          </w:tcPr>
          <w:p w:rsidR="00E46D87" w:rsidRDefault="00821AFF" w:rsidP="00E46D87">
            <w:pPr>
              <w:spacing w:after="120"/>
              <w:rPr>
                <w:rFonts w:ascii="Helv" w:hAnsi="Helv" w:cs="Helv"/>
                <w:color w:val="000000"/>
                <w:sz w:val="20"/>
                <w:szCs w:val="20"/>
              </w:rPr>
            </w:pPr>
            <w:proofErr w:type="spellStart"/>
            <w:r>
              <w:rPr>
                <w:rFonts w:ascii="Helv" w:hAnsi="Helv" w:cs="Helv"/>
                <w:color w:val="000000"/>
                <w:sz w:val="20"/>
                <w:szCs w:val="20"/>
              </w:rPr>
              <w:t>SocGe</w:t>
            </w:r>
            <w:r w:rsidR="00E46D87">
              <w:rPr>
                <w:rFonts w:ascii="Helv" w:hAnsi="Helv" w:cs="Helv"/>
                <w:color w:val="000000"/>
                <w:sz w:val="20"/>
                <w:szCs w:val="20"/>
              </w:rPr>
              <w:t>n</w:t>
            </w:r>
            <w:proofErr w:type="spellEnd"/>
            <w:r w:rsidR="00E46D87">
              <w:rPr>
                <w:rFonts w:ascii="Helv" w:hAnsi="Helv" w:cs="Helv"/>
                <w:color w:val="000000"/>
                <w:sz w:val="20"/>
                <w:szCs w:val="20"/>
              </w:rPr>
              <w:t xml:space="preserve"> is actively testing multi-SSM feature for one important front-office trader application </w:t>
            </w:r>
            <w:proofErr w:type="spellStart"/>
            <w:r w:rsidR="00E46D87">
              <w:rPr>
                <w:rFonts w:ascii="Helv" w:hAnsi="Helv" w:cs="Helv"/>
                <w:color w:val="000000"/>
                <w:sz w:val="20"/>
                <w:szCs w:val="20"/>
              </w:rPr>
              <w:t>PricingService</w:t>
            </w:r>
            <w:proofErr w:type="spellEnd"/>
            <w:r w:rsidR="00E46D87">
              <w:rPr>
                <w:rFonts w:ascii="Helv" w:hAnsi="Helv" w:cs="Helv"/>
                <w:color w:val="000000"/>
                <w:sz w:val="20"/>
                <w:szCs w:val="20"/>
              </w:rPr>
              <w:t>. They found when one or more physical applications are disabled or unregistered the client workload submission fails. IBM provides a solution to set the environment variable</w:t>
            </w:r>
          </w:p>
          <w:p w:rsidR="00821AFF" w:rsidRDefault="00E46D87" w:rsidP="00E46D87">
            <w:pPr>
              <w:spacing w:after="120"/>
              <w:rPr>
                <w:rFonts w:ascii="Helv" w:hAnsi="Helv" w:cs="Helv"/>
                <w:color w:val="000000"/>
                <w:sz w:val="20"/>
                <w:szCs w:val="20"/>
              </w:rPr>
            </w:pPr>
            <w:r>
              <w:rPr>
                <w:rFonts w:ascii="Helv" w:hAnsi="Helv" w:cs="Helv"/>
                <w:color w:val="000000"/>
                <w:sz w:val="20"/>
                <w:szCs w:val="20"/>
              </w:rPr>
              <w:t xml:space="preserve"> </w:t>
            </w:r>
            <w:r w:rsidRPr="00E46D87">
              <w:rPr>
                <w:rFonts w:ascii="Helv" w:hAnsi="Helv" w:cs="Helv"/>
                <w:color w:val="000000"/>
                <w:sz w:val="20"/>
                <w:szCs w:val="20"/>
              </w:rPr>
              <w:t>FA</w:t>
            </w:r>
            <w:r w:rsidR="00CE0A09">
              <w:rPr>
                <w:rFonts w:ascii="Helv" w:hAnsi="Helv" w:cs="Helv"/>
                <w:color w:val="000000"/>
                <w:sz w:val="20"/>
                <w:szCs w:val="20"/>
              </w:rPr>
              <w:t>IL_CONN_IF_ANY_SSM_UNAVAILABLE=N</w:t>
            </w:r>
          </w:p>
          <w:p w:rsidR="0007087D" w:rsidRDefault="00E46D87" w:rsidP="0073619E">
            <w:pPr>
              <w:spacing w:after="120"/>
              <w:rPr>
                <w:rFonts w:ascii="Helv" w:hAnsi="Helv" w:cs="Helv"/>
                <w:color w:val="000000"/>
                <w:sz w:val="20"/>
                <w:szCs w:val="20"/>
              </w:rPr>
            </w:pPr>
            <w:proofErr w:type="gramStart"/>
            <w:r>
              <w:rPr>
                <w:rFonts w:ascii="Helv" w:hAnsi="Helv" w:cs="Helv"/>
                <w:color w:val="000000"/>
                <w:sz w:val="20"/>
                <w:szCs w:val="20"/>
              </w:rPr>
              <w:t>at</w:t>
            </w:r>
            <w:proofErr w:type="gramEnd"/>
            <w:r>
              <w:rPr>
                <w:rFonts w:ascii="Helv" w:hAnsi="Helv" w:cs="Helv"/>
                <w:color w:val="000000"/>
                <w:sz w:val="20"/>
                <w:szCs w:val="20"/>
              </w:rPr>
              <w:t xml:space="preserve"> client machine so the logical session can still be created with at least one running physical SSM. </w:t>
            </w:r>
            <w:r w:rsidR="0007087D">
              <w:rPr>
                <w:rFonts w:ascii="Helv" w:hAnsi="Helv" w:cs="Helv"/>
                <w:color w:val="000000"/>
                <w:sz w:val="20"/>
                <w:szCs w:val="20"/>
              </w:rPr>
              <w:t>The document has below explanation</w:t>
            </w:r>
          </w:p>
          <w:p w:rsidR="0007087D" w:rsidRPr="0007087D" w:rsidRDefault="0007087D" w:rsidP="0007087D">
            <w:pPr>
              <w:spacing w:after="120"/>
              <w:rPr>
                <w:rFonts w:ascii="Helv" w:hAnsi="Helv" w:cs="Helv"/>
                <w:color w:val="000000"/>
                <w:sz w:val="20"/>
                <w:szCs w:val="20"/>
              </w:rPr>
            </w:pPr>
            <w:r w:rsidRPr="0007087D">
              <w:rPr>
                <w:rFonts w:ascii="Helv" w:hAnsi="Helv" w:cs="Helv"/>
                <w:color w:val="000000"/>
                <w:sz w:val="20"/>
                <w:szCs w:val="20"/>
              </w:rPr>
              <w:t>Syntax: FAIL_CONN_IF_ANY_SSM_UNAVAILABLE=Y | N</w:t>
            </w:r>
          </w:p>
          <w:p w:rsidR="0007087D" w:rsidRDefault="0007087D" w:rsidP="0007087D">
            <w:pPr>
              <w:spacing w:after="120"/>
              <w:rPr>
                <w:rFonts w:ascii="Helv" w:hAnsi="Helv" w:cs="Helv"/>
                <w:color w:val="000000"/>
                <w:sz w:val="20"/>
                <w:szCs w:val="20"/>
              </w:rPr>
            </w:pPr>
            <w:r w:rsidRPr="0007087D">
              <w:rPr>
                <w:rFonts w:ascii="Helv" w:hAnsi="Helv" w:cs="Helv"/>
                <w:color w:val="000000"/>
                <w:sz w:val="20"/>
                <w:szCs w:val="20"/>
              </w:rPr>
              <w:t>Description: Specifies whether a logical session is created for unrecoverable sessions even when all session managers are not available. When FAIL_CONN_IF_ANY_SSM_UNAVAILABLE is set to N, a logical session is created when at least one session manager is available. When not even one session manager is available, an exception is thrown.</w:t>
            </w:r>
          </w:p>
          <w:p w:rsidR="00E46D87" w:rsidRPr="00C254CF" w:rsidRDefault="00E46D87" w:rsidP="0073619E">
            <w:pPr>
              <w:spacing w:after="120"/>
              <w:rPr>
                <w:rFonts w:ascii="Helv" w:hAnsi="Helv" w:cs="Helv"/>
                <w:color w:val="000000"/>
                <w:sz w:val="20"/>
                <w:szCs w:val="20"/>
              </w:rPr>
            </w:pPr>
            <w:proofErr w:type="spellStart"/>
            <w:r>
              <w:rPr>
                <w:rFonts w:ascii="Helv" w:hAnsi="Helv" w:cs="Helv"/>
                <w:color w:val="000000"/>
                <w:sz w:val="20"/>
                <w:szCs w:val="20"/>
              </w:rPr>
              <w:t>SocGen</w:t>
            </w:r>
            <w:proofErr w:type="spellEnd"/>
            <w:r>
              <w:rPr>
                <w:rFonts w:ascii="Helv" w:hAnsi="Helv" w:cs="Helv"/>
                <w:color w:val="000000"/>
                <w:sz w:val="20"/>
                <w:szCs w:val="20"/>
              </w:rPr>
              <w:t xml:space="preserve"> does not like the </w:t>
            </w:r>
            <w:r w:rsidR="0073619E">
              <w:rPr>
                <w:rFonts w:ascii="Helv" w:hAnsi="Helv" w:cs="Helv"/>
                <w:color w:val="000000"/>
                <w:sz w:val="20"/>
                <w:szCs w:val="20"/>
              </w:rPr>
              <w:t xml:space="preserve">per client </w:t>
            </w:r>
            <w:r>
              <w:rPr>
                <w:rFonts w:ascii="Helv" w:hAnsi="Helv" w:cs="Helv"/>
                <w:color w:val="000000"/>
                <w:sz w:val="20"/>
                <w:szCs w:val="20"/>
              </w:rPr>
              <w:t xml:space="preserve">solution because </w:t>
            </w:r>
            <w:r w:rsidR="0073619E">
              <w:rPr>
                <w:rFonts w:ascii="Helv" w:hAnsi="Helv" w:cs="Helv"/>
                <w:color w:val="000000"/>
                <w:sz w:val="20"/>
                <w:szCs w:val="20"/>
              </w:rPr>
              <w:t xml:space="preserve">of two reasons: 1) </w:t>
            </w:r>
            <w:r>
              <w:rPr>
                <w:rFonts w:ascii="Helv" w:hAnsi="Helv" w:cs="Helv"/>
                <w:color w:val="000000"/>
                <w:sz w:val="20"/>
                <w:szCs w:val="20"/>
              </w:rPr>
              <w:t>there are too many client machines and the non-IT user can easily miss the environment variable.</w:t>
            </w:r>
            <w:r w:rsidR="0073619E">
              <w:rPr>
                <w:rFonts w:ascii="Helv" w:hAnsi="Helv" w:cs="Helv"/>
                <w:color w:val="000000"/>
                <w:sz w:val="20"/>
                <w:szCs w:val="20"/>
              </w:rPr>
              <w:t xml:space="preserve"> </w:t>
            </w:r>
            <w:r>
              <w:rPr>
                <w:rFonts w:ascii="Helv" w:hAnsi="Helv" w:cs="Helv"/>
                <w:color w:val="000000"/>
                <w:sz w:val="20"/>
                <w:szCs w:val="20"/>
              </w:rPr>
              <w:t xml:space="preserve">It is not a good way to enforce </w:t>
            </w:r>
            <w:r w:rsidR="0073619E">
              <w:rPr>
                <w:rFonts w:ascii="Helv" w:hAnsi="Helv" w:cs="Helv"/>
                <w:color w:val="000000"/>
                <w:sz w:val="20"/>
                <w:szCs w:val="20"/>
              </w:rPr>
              <w:t xml:space="preserve">a grid policy. 2) How Symphony manages logical &amp; physical apps should be transparent to user clients. The client should NOT care about the availability of any physical SSM and the configuration. The client should only see one logical application. </w:t>
            </w:r>
          </w:p>
        </w:tc>
      </w:tr>
      <w:tr w:rsidR="00821AFF" w:rsidTr="00986E26">
        <w:tc>
          <w:tcPr>
            <w:tcW w:w="2380" w:type="dxa"/>
            <w:vAlign w:val="center"/>
          </w:tcPr>
          <w:p w:rsidR="00821AFF" w:rsidRDefault="00821AFF" w:rsidP="00821AFF">
            <w:pPr>
              <w:rPr>
                <w:b/>
                <w:bCs/>
              </w:rPr>
            </w:pPr>
            <w:r>
              <w:rPr>
                <w:rFonts w:ascii="Arial" w:hAnsi="Arial" w:cs="Arial"/>
                <w:b/>
                <w:bCs/>
                <w:sz w:val="20"/>
                <w:szCs w:val="20"/>
              </w:rPr>
              <w:t>Use Case</w:t>
            </w:r>
          </w:p>
        </w:tc>
        <w:tc>
          <w:tcPr>
            <w:tcW w:w="6948" w:type="dxa"/>
            <w:vAlign w:val="center"/>
          </w:tcPr>
          <w:p w:rsidR="0073619E" w:rsidRDefault="0073619E" w:rsidP="0073619E">
            <w:pPr>
              <w:spacing w:after="120"/>
              <w:rPr>
                <w:rFonts w:ascii="Arial" w:hAnsi="Arial" w:cs="Arial"/>
                <w:sz w:val="20"/>
                <w:szCs w:val="20"/>
              </w:rPr>
            </w:pPr>
            <w:proofErr w:type="spellStart"/>
            <w:r>
              <w:rPr>
                <w:rFonts w:ascii="Arial" w:hAnsi="Arial" w:cs="Arial"/>
                <w:sz w:val="20"/>
                <w:szCs w:val="20"/>
              </w:rPr>
              <w:t>SocGen</w:t>
            </w:r>
            <w:proofErr w:type="spellEnd"/>
            <w:r>
              <w:rPr>
                <w:rFonts w:ascii="Arial" w:hAnsi="Arial" w:cs="Arial"/>
                <w:sz w:val="20"/>
                <w:szCs w:val="20"/>
              </w:rPr>
              <w:t xml:space="preserve"> client machines are </w:t>
            </w:r>
            <w:r w:rsidR="00CE0A09">
              <w:rPr>
                <w:rFonts w:ascii="Arial" w:hAnsi="Arial" w:cs="Arial"/>
                <w:sz w:val="20"/>
                <w:szCs w:val="20"/>
              </w:rPr>
              <w:t xml:space="preserve">on </w:t>
            </w:r>
            <w:r>
              <w:rPr>
                <w:rFonts w:ascii="Arial" w:hAnsi="Arial" w:cs="Arial"/>
                <w:sz w:val="20"/>
                <w:szCs w:val="20"/>
              </w:rPr>
              <w:t xml:space="preserve">Windows and management hosts will be running on Linux x86_64 after migration. </w:t>
            </w:r>
          </w:p>
          <w:p w:rsidR="00CE0A09" w:rsidRDefault="001A18F3" w:rsidP="0073619E">
            <w:pPr>
              <w:spacing w:after="120"/>
              <w:rPr>
                <w:rFonts w:ascii="Arial" w:hAnsi="Arial" w:cs="Arial"/>
                <w:sz w:val="20"/>
                <w:szCs w:val="20"/>
              </w:rPr>
            </w:pPr>
            <w:r>
              <w:rPr>
                <w:rFonts w:ascii="Arial" w:hAnsi="Arial" w:cs="Arial"/>
                <w:sz w:val="20"/>
                <w:szCs w:val="20"/>
              </w:rPr>
              <w:t xml:space="preserve">They need an SD.xml </w:t>
            </w:r>
            <w:r w:rsidR="00CE0A09">
              <w:rPr>
                <w:rFonts w:ascii="Arial" w:hAnsi="Arial" w:cs="Arial"/>
                <w:sz w:val="20"/>
                <w:szCs w:val="20"/>
              </w:rPr>
              <w:t>parameter, for example</w:t>
            </w:r>
          </w:p>
          <w:p w:rsidR="00CE0A09" w:rsidRDefault="00CE0A09" w:rsidP="00CE0A09">
            <w:pPr>
              <w:spacing w:after="120"/>
              <w:rPr>
                <w:rFonts w:ascii="Helv" w:hAnsi="Helv" w:cs="Helv"/>
                <w:color w:val="000000"/>
                <w:sz w:val="20"/>
                <w:szCs w:val="20"/>
              </w:rPr>
            </w:pPr>
            <w:r w:rsidRPr="00E46D87">
              <w:rPr>
                <w:rFonts w:ascii="Helv" w:hAnsi="Helv" w:cs="Helv"/>
                <w:color w:val="000000"/>
                <w:sz w:val="20"/>
                <w:szCs w:val="20"/>
              </w:rPr>
              <w:t>FAIL_CONN_IF_ANY_SSM_UNAVAILABLE</w:t>
            </w:r>
            <w:r>
              <w:rPr>
                <w:rFonts w:ascii="Helv" w:hAnsi="Helv" w:cs="Helv"/>
                <w:color w:val="000000"/>
                <w:sz w:val="20"/>
                <w:szCs w:val="20"/>
              </w:rPr>
              <w:t>_ENFORCE=N</w:t>
            </w:r>
          </w:p>
          <w:p w:rsidR="00CE0A09" w:rsidRDefault="00CE0A09" w:rsidP="0073619E">
            <w:pPr>
              <w:spacing w:after="120"/>
              <w:rPr>
                <w:rFonts w:ascii="Arial" w:hAnsi="Arial" w:cs="Arial"/>
                <w:sz w:val="20"/>
                <w:szCs w:val="20"/>
              </w:rPr>
            </w:pPr>
            <w:r>
              <w:rPr>
                <w:rFonts w:ascii="Arial" w:hAnsi="Arial" w:cs="Arial"/>
                <w:sz w:val="20"/>
                <w:szCs w:val="20"/>
              </w:rPr>
              <w:t>to allow them to enforce the setting at a central place</w:t>
            </w:r>
          </w:p>
          <w:p w:rsidR="001A18F3" w:rsidRDefault="001A18F3" w:rsidP="0073619E">
            <w:pPr>
              <w:spacing w:after="120"/>
              <w:rPr>
                <w:rFonts w:ascii="Arial" w:hAnsi="Arial" w:cs="Arial"/>
                <w:sz w:val="20"/>
                <w:szCs w:val="20"/>
              </w:rPr>
            </w:pPr>
            <w:r>
              <w:rPr>
                <w:rFonts w:ascii="Arial" w:hAnsi="Arial" w:cs="Arial"/>
                <w:sz w:val="20"/>
                <w:szCs w:val="20"/>
              </w:rPr>
              <w:t xml:space="preserve">Preferably this should be the default setting for the whole cluster. </w:t>
            </w:r>
          </w:p>
          <w:p w:rsidR="001A18F3" w:rsidRPr="001743A3" w:rsidRDefault="001A18F3" w:rsidP="0073619E">
            <w:pPr>
              <w:spacing w:after="120"/>
              <w:rPr>
                <w:rFonts w:ascii="Arial" w:hAnsi="Arial" w:cs="Arial"/>
                <w:sz w:val="20"/>
                <w:szCs w:val="20"/>
              </w:rPr>
            </w:pPr>
            <w:r>
              <w:rPr>
                <w:rFonts w:ascii="Arial" w:hAnsi="Arial" w:cs="Arial"/>
                <w:sz w:val="20"/>
                <w:szCs w:val="20"/>
              </w:rPr>
              <w:lastRenderedPageBreak/>
              <w:t xml:space="preserve">If any application user wants to override the default setting, the user should be able to set an environment variable at client machine or an application profile parameter. </w:t>
            </w:r>
          </w:p>
          <w:p w:rsidR="007E0BD7" w:rsidRPr="001743A3" w:rsidRDefault="007E0BD7" w:rsidP="007E0BD7">
            <w:pPr>
              <w:spacing w:after="120"/>
              <w:rPr>
                <w:rFonts w:ascii="Arial" w:hAnsi="Arial" w:cs="Arial"/>
                <w:sz w:val="20"/>
                <w:szCs w:val="20"/>
              </w:rPr>
            </w:pPr>
          </w:p>
        </w:tc>
      </w:tr>
      <w:tr w:rsidR="00821AFF" w:rsidTr="00986E26">
        <w:tc>
          <w:tcPr>
            <w:tcW w:w="2380" w:type="dxa"/>
            <w:vAlign w:val="center"/>
          </w:tcPr>
          <w:p w:rsidR="00821AFF" w:rsidRDefault="00821AFF" w:rsidP="00821AFF">
            <w:pPr>
              <w:rPr>
                <w:b/>
                <w:bCs/>
              </w:rPr>
            </w:pPr>
            <w:r>
              <w:rPr>
                <w:rFonts w:ascii="Arial" w:hAnsi="Arial" w:cs="Arial"/>
                <w:b/>
                <w:bCs/>
                <w:sz w:val="20"/>
                <w:szCs w:val="20"/>
              </w:rPr>
              <w:lastRenderedPageBreak/>
              <w:t>Business Justification</w:t>
            </w:r>
          </w:p>
        </w:tc>
        <w:tc>
          <w:tcPr>
            <w:tcW w:w="6948" w:type="dxa"/>
            <w:vAlign w:val="center"/>
          </w:tcPr>
          <w:p w:rsidR="00821AFF" w:rsidRDefault="00821AFF" w:rsidP="00821AFF">
            <w:pPr>
              <w:spacing w:after="120"/>
              <w:rPr>
                <w:rFonts w:ascii="Arial" w:hAnsi="Arial" w:cs="Arial"/>
                <w:sz w:val="20"/>
              </w:rPr>
            </w:pPr>
            <w:proofErr w:type="spellStart"/>
            <w:r>
              <w:rPr>
                <w:rFonts w:ascii="Arial" w:hAnsi="Arial" w:cs="Arial"/>
                <w:sz w:val="20"/>
              </w:rPr>
              <w:t>SocGen</w:t>
            </w:r>
            <w:proofErr w:type="spellEnd"/>
            <w:r>
              <w:rPr>
                <w:rFonts w:ascii="Arial" w:hAnsi="Arial" w:cs="Arial"/>
                <w:sz w:val="20"/>
              </w:rPr>
              <w:t xml:space="preserve"> </w:t>
            </w:r>
            <w:r w:rsidR="00CE0A09">
              <w:rPr>
                <w:rFonts w:ascii="Arial" w:hAnsi="Arial" w:cs="Arial"/>
                <w:sz w:val="20"/>
              </w:rPr>
              <w:t xml:space="preserve">is actively testing multi-SSM feature performance. Usability </w:t>
            </w:r>
            <w:r w:rsidR="00286815">
              <w:rPr>
                <w:rFonts w:ascii="Arial" w:hAnsi="Arial" w:cs="Arial"/>
                <w:sz w:val="20"/>
              </w:rPr>
              <w:t xml:space="preserve">issue </w:t>
            </w:r>
            <w:r w:rsidR="00CE0A09">
              <w:rPr>
                <w:rFonts w:ascii="Arial" w:hAnsi="Arial" w:cs="Arial"/>
                <w:sz w:val="20"/>
              </w:rPr>
              <w:t xml:space="preserve">may impact the adoption. </w:t>
            </w:r>
            <w:bookmarkStart w:id="0" w:name="_GoBack"/>
            <w:bookmarkEnd w:id="0"/>
          </w:p>
          <w:p w:rsidR="00821AFF" w:rsidRDefault="00821AFF" w:rsidP="00821AFF">
            <w:pPr>
              <w:spacing w:after="120"/>
              <w:rPr>
                <w:rFonts w:ascii="Arial" w:hAnsi="Arial" w:cs="Arial"/>
                <w:sz w:val="20"/>
              </w:rPr>
            </w:pPr>
          </w:p>
        </w:tc>
      </w:tr>
    </w:tbl>
    <w:p w:rsidR="0070769C" w:rsidRDefault="0070769C"/>
    <w:sectPr w:rsidR="00707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412BB"/>
    <w:multiLevelType w:val="hybridMultilevel"/>
    <w:tmpl w:val="D20A7678"/>
    <w:lvl w:ilvl="0" w:tplc="41409252">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73935"/>
    <w:multiLevelType w:val="hybridMultilevel"/>
    <w:tmpl w:val="59FA3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D2619"/>
    <w:multiLevelType w:val="hybridMultilevel"/>
    <w:tmpl w:val="59FA3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863E18"/>
    <w:multiLevelType w:val="hybridMultilevel"/>
    <w:tmpl w:val="A0EC2558"/>
    <w:lvl w:ilvl="0" w:tplc="41409252">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24"/>
    <w:rsid w:val="00002B75"/>
    <w:rsid w:val="00007A79"/>
    <w:rsid w:val="00010B24"/>
    <w:rsid w:val="0002402F"/>
    <w:rsid w:val="00034620"/>
    <w:rsid w:val="00035136"/>
    <w:rsid w:val="00066293"/>
    <w:rsid w:val="0007087D"/>
    <w:rsid w:val="000772F9"/>
    <w:rsid w:val="00085DEE"/>
    <w:rsid w:val="000A1C39"/>
    <w:rsid w:val="000B588A"/>
    <w:rsid w:val="000C0E34"/>
    <w:rsid w:val="000C725A"/>
    <w:rsid w:val="000D3521"/>
    <w:rsid w:val="0010369C"/>
    <w:rsid w:val="00145A5B"/>
    <w:rsid w:val="0015386C"/>
    <w:rsid w:val="00155824"/>
    <w:rsid w:val="001560C1"/>
    <w:rsid w:val="001743A3"/>
    <w:rsid w:val="00192DE9"/>
    <w:rsid w:val="001A18F3"/>
    <w:rsid w:val="001A2268"/>
    <w:rsid w:val="001B471B"/>
    <w:rsid w:val="001B7B52"/>
    <w:rsid w:val="001D59C3"/>
    <w:rsid w:val="002254B7"/>
    <w:rsid w:val="00225DB3"/>
    <w:rsid w:val="002710BA"/>
    <w:rsid w:val="00286815"/>
    <w:rsid w:val="002C10D6"/>
    <w:rsid w:val="002F1779"/>
    <w:rsid w:val="00300A22"/>
    <w:rsid w:val="00311312"/>
    <w:rsid w:val="00311CDD"/>
    <w:rsid w:val="00315F7E"/>
    <w:rsid w:val="00344D77"/>
    <w:rsid w:val="003609BE"/>
    <w:rsid w:val="003772D3"/>
    <w:rsid w:val="00383393"/>
    <w:rsid w:val="003A4491"/>
    <w:rsid w:val="003B6779"/>
    <w:rsid w:val="003D1688"/>
    <w:rsid w:val="00414922"/>
    <w:rsid w:val="0041658D"/>
    <w:rsid w:val="004241DF"/>
    <w:rsid w:val="004971EA"/>
    <w:rsid w:val="004C6E69"/>
    <w:rsid w:val="004D3E16"/>
    <w:rsid w:val="004D6D0D"/>
    <w:rsid w:val="004F0321"/>
    <w:rsid w:val="005211C9"/>
    <w:rsid w:val="00527D89"/>
    <w:rsid w:val="00531A86"/>
    <w:rsid w:val="00545CAA"/>
    <w:rsid w:val="0054607F"/>
    <w:rsid w:val="005529C3"/>
    <w:rsid w:val="00562EE1"/>
    <w:rsid w:val="00563343"/>
    <w:rsid w:val="0056632D"/>
    <w:rsid w:val="00572F2C"/>
    <w:rsid w:val="00574295"/>
    <w:rsid w:val="00581616"/>
    <w:rsid w:val="005865DB"/>
    <w:rsid w:val="0059683D"/>
    <w:rsid w:val="005970CD"/>
    <w:rsid w:val="005B47ED"/>
    <w:rsid w:val="005C2782"/>
    <w:rsid w:val="005D2123"/>
    <w:rsid w:val="005D62B3"/>
    <w:rsid w:val="005F5CEE"/>
    <w:rsid w:val="006164B7"/>
    <w:rsid w:val="00626F43"/>
    <w:rsid w:val="006337DD"/>
    <w:rsid w:val="00684EFD"/>
    <w:rsid w:val="00687AD7"/>
    <w:rsid w:val="006E7070"/>
    <w:rsid w:val="0070769C"/>
    <w:rsid w:val="00714EBF"/>
    <w:rsid w:val="00731A97"/>
    <w:rsid w:val="0073619E"/>
    <w:rsid w:val="007366A7"/>
    <w:rsid w:val="00736D9B"/>
    <w:rsid w:val="0074616E"/>
    <w:rsid w:val="00747DF3"/>
    <w:rsid w:val="00750403"/>
    <w:rsid w:val="007511A3"/>
    <w:rsid w:val="007758C8"/>
    <w:rsid w:val="00790AA3"/>
    <w:rsid w:val="007A4260"/>
    <w:rsid w:val="007B1F5A"/>
    <w:rsid w:val="007B56A6"/>
    <w:rsid w:val="007E0BD7"/>
    <w:rsid w:val="007E712D"/>
    <w:rsid w:val="007E7F09"/>
    <w:rsid w:val="007F2A5F"/>
    <w:rsid w:val="00821AFF"/>
    <w:rsid w:val="00842164"/>
    <w:rsid w:val="00872DA1"/>
    <w:rsid w:val="0088725B"/>
    <w:rsid w:val="00892033"/>
    <w:rsid w:val="00897066"/>
    <w:rsid w:val="008C3163"/>
    <w:rsid w:val="008D3947"/>
    <w:rsid w:val="00914970"/>
    <w:rsid w:val="009455D9"/>
    <w:rsid w:val="0096629B"/>
    <w:rsid w:val="00975032"/>
    <w:rsid w:val="00991B35"/>
    <w:rsid w:val="00996CCE"/>
    <w:rsid w:val="009C4C36"/>
    <w:rsid w:val="009D3C2A"/>
    <w:rsid w:val="009E66BE"/>
    <w:rsid w:val="009E7774"/>
    <w:rsid w:val="009F06CC"/>
    <w:rsid w:val="00A053FE"/>
    <w:rsid w:val="00A07B63"/>
    <w:rsid w:val="00A17DCE"/>
    <w:rsid w:val="00A442FF"/>
    <w:rsid w:val="00AB5F5E"/>
    <w:rsid w:val="00AD3E3B"/>
    <w:rsid w:val="00AF353B"/>
    <w:rsid w:val="00B029BD"/>
    <w:rsid w:val="00B23412"/>
    <w:rsid w:val="00B861FF"/>
    <w:rsid w:val="00B93C53"/>
    <w:rsid w:val="00BA538A"/>
    <w:rsid w:val="00BD36D4"/>
    <w:rsid w:val="00BF50A4"/>
    <w:rsid w:val="00BF5225"/>
    <w:rsid w:val="00C05E40"/>
    <w:rsid w:val="00C819B5"/>
    <w:rsid w:val="00CE0A09"/>
    <w:rsid w:val="00CF5681"/>
    <w:rsid w:val="00D00240"/>
    <w:rsid w:val="00D07A7D"/>
    <w:rsid w:val="00D254B3"/>
    <w:rsid w:val="00D328E5"/>
    <w:rsid w:val="00D86600"/>
    <w:rsid w:val="00DC3575"/>
    <w:rsid w:val="00DD6E75"/>
    <w:rsid w:val="00E21AB1"/>
    <w:rsid w:val="00E431CB"/>
    <w:rsid w:val="00E46D87"/>
    <w:rsid w:val="00E5057B"/>
    <w:rsid w:val="00E548AE"/>
    <w:rsid w:val="00E67B4F"/>
    <w:rsid w:val="00E842E2"/>
    <w:rsid w:val="00EB6914"/>
    <w:rsid w:val="00ED11DA"/>
    <w:rsid w:val="00EE4023"/>
    <w:rsid w:val="00EE6AD0"/>
    <w:rsid w:val="00F0439E"/>
    <w:rsid w:val="00F07AD5"/>
    <w:rsid w:val="00F64492"/>
    <w:rsid w:val="00F65686"/>
    <w:rsid w:val="00F8199D"/>
    <w:rsid w:val="00F85EE5"/>
    <w:rsid w:val="00FB7FB9"/>
    <w:rsid w:val="00FC161A"/>
    <w:rsid w:val="00FD20E6"/>
    <w:rsid w:val="00FD25C5"/>
    <w:rsid w:val="00FE5128"/>
    <w:rsid w:val="00FF2A34"/>
    <w:rsid w:val="00FF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4B788-3CD2-42E0-8E77-0501F884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010B24"/>
    <w:pPr>
      <w:keepNext/>
      <w:spacing w:after="0" w:line="240" w:lineRule="auto"/>
      <w:outlineLvl w:val="0"/>
    </w:pPr>
    <w:rPr>
      <w:rFonts w:ascii="Arial" w:eastAsia="Times New Roman" w:hAnsi="Arial" w:cs="Arial"/>
      <w:b/>
      <w:bCs/>
      <w:sz w:val="20"/>
      <w:szCs w:val="20"/>
      <w:lang w:eastAsia="en-US"/>
    </w:rPr>
  </w:style>
  <w:style w:type="paragraph" w:styleId="Heading2">
    <w:name w:val="heading 2"/>
    <w:basedOn w:val="Normal"/>
    <w:next w:val="Normal"/>
    <w:link w:val="Heading2Char"/>
    <w:uiPriority w:val="9"/>
    <w:semiHidden/>
    <w:unhideWhenUsed/>
    <w:qFormat/>
    <w:rsid w:val="00E46D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B24"/>
    <w:rPr>
      <w:rFonts w:ascii="Arial" w:eastAsia="Times New Roman" w:hAnsi="Arial" w:cs="Arial"/>
      <w:b/>
      <w:bCs/>
      <w:lang w:eastAsia="en-US"/>
    </w:rPr>
  </w:style>
  <w:style w:type="character" w:styleId="Hyperlink">
    <w:name w:val="Hyperlink"/>
    <w:uiPriority w:val="99"/>
    <w:unhideWhenUsed/>
    <w:rsid w:val="00892033"/>
    <w:rPr>
      <w:color w:val="0000FF"/>
      <w:u w:val="single"/>
    </w:rPr>
  </w:style>
  <w:style w:type="character" w:customStyle="1" w:styleId="Heading2Char">
    <w:name w:val="Heading 2 Char"/>
    <w:basedOn w:val="DefaultParagraphFont"/>
    <w:link w:val="Heading2"/>
    <w:uiPriority w:val="9"/>
    <w:semiHidden/>
    <w:rsid w:val="00E46D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5104">
      <w:bodyDiv w:val="1"/>
      <w:marLeft w:val="0"/>
      <w:marRight w:val="0"/>
      <w:marTop w:val="0"/>
      <w:marBottom w:val="0"/>
      <w:divBdr>
        <w:top w:val="none" w:sz="0" w:space="0" w:color="auto"/>
        <w:left w:val="none" w:sz="0" w:space="0" w:color="auto"/>
        <w:bottom w:val="none" w:sz="0" w:space="0" w:color="auto"/>
        <w:right w:val="none" w:sz="0" w:space="0" w:color="auto"/>
      </w:divBdr>
    </w:div>
    <w:div w:id="547689307">
      <w:bodyDiv w:val="1"/>
      <w:marLeft w:val="0"/>
      <w:marRight w:val="0"/>
      <w:marTop w:val="0"/>
      <w:marBottom w:val="0"/>
      <w:divBdr>
        <w:top w:val="none" w:sz="0" w:space="0" w:color="auto"/>
        <w:left w:val="none" w:sz="0" w:space="0" w:color="auto"/>
        <w:bottom w:val="none" w:sz="0" w:space="0" w:color="auto"/>
        <w:right w:val="none" w:sz="0" w:space="0" w:color="auto"/>
      </w:divBdr>
    </w:div>
    <w:div w:id="600183066">
      <w:bodyDiv w:val="1"/>
      <w:marLeft w:val="0"/>
      <w:marRight w:val="0"/>
      <w:marTop w:val="0"/>
      <w:marBottom w:val="0"/>
      <w:divBdr>
        <w:top w:val="none" w:sz="0" w:space="0" w:color="auto"/>
        <w:left w:val="none" w:sz="0" w:space="0" w:color="auto"/>
        <w:bottom w:val="none" w:sz="0" w:space="0" w:color="auto"/>
        <w:right w:val="none" w:sz="0" w:space="0" w:color="auto"/>
      </w:divBdr>
    </w:div>
    <w:div w:id="9749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ADMINIBM</dc:creator>
  <cp:keywords/>
  <dc:description/>
  <cp:lastModifiedBy>ADMINIBM</cp:lastModifiedBy>
  <cp:revision>13</cp:revision>
  <dcterms:created xsi:type="dcterms:W3CDTF">2016-06-20T05:46:00Z</dcterms:created>
  <dcterms:modified xsi:type="dcterms:W3CDTF">2016-09-22T05:50:00Z</dcterms:modified>
</cp:coreProperties>
</file>